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396C7" w14:textId="311F9707" w:rsidR="00F629D2" w:rsidRPr="00EF7291" w:rsidRDefault="006940CD" w:rsidP="00F629D2">
      <w:pPr>
        <w:jc w:val="center"/>
        <w:rPr>
          <w:rFonts w:ascii="Times New Roman" w:hAnsi="Times New Roman" w:cs="Times New Roman"/>
          <w:b/>
          <w:bCs/>
        </w:rPr>
      </w:pPr>
      <w:r w:rsidRPr="00EF7291">
        <w:rPr>
          <w:rFonts w:ascii="Times New Roman" w:hAnsi="Times New Roman" w:cs="Times New Roman"/>
          <w:b/>
          <w:bCs/>
        </w:rPr>
        <w:t xml:space="preserve">On the status of </w:t>
      </w:r>
      <w:r w:rsidR="00F629D2" w:rsidRPr="00EF7291">
        <w:rPr>
          <w:rFonts w:ascii="Times New Roman" w:hAnsi="Times New Roman" w:cs="Times New Roman"/>
          <w:b/>
          <w:bCs/>
        </w:rPr>
        <w:t xml:space="preserve">energy </w:t>
      </w:r>
      <w:r w:rsidRPr="00EF7291">
        <w:rPr>
          <w:rFonts w:ascii="Times New Roman" w:hAnsi="Times New Roman" w:cs="Times New Roman"/>
          <w:b/>
          <w:bCs/>
        </w:rPr>
        <w:t>communities’</w:t>
      </w:r>
      <w:r w:rsidR="00F629D2" w:rsidRPr="00EF7291">
        <w:rPr>
          <w:rFonts w:ascii="Times New Roman" w:hAnsi="Times New Roman" w:cs="Times New Roman"/>
          <w:b/>
          <w:bCs/>
        </w:rPr>
        <w:t xml:space="preserve"> </w:t>
      </w:r>
      <w:r w:rsidRPr="00EF7291">
        <w:rPr>
          <w:rFonts w:ascii="Times New Roman" w:hAnsi="Times New Roman" w:cs="Times New Roman"/>
          <w:b/>
          <w:bCs/>
        </w:rPr>
        <w:t xml:space="preserve">integration </w:t>
      </w:r>
      <w:r w:rsidR="00F629D2" w:rsidRPr="00EF7291">
        <w:rPr>
          <w:rFonts w:ascii="Times New Roman" w:hAnsi="Times New Roman" w:cs="Times New Roman"/>
          <w:b/>
          <w:bCs/>
        </w:rPr>
        <w:t>in existing energy markets</w:t>
      </w:r>
    </w:p>
    <w:p w14:paraId="6A8ADA27" w14:textId="4D54AE9E" w:rsidR="00A0322B" w:rsidRPr="004E7598" w:rsidRDefault="004E7598" w:rsidP="00F629D2">
      <w:pPr>
        <w:jc w:val="both"/>
        <w:rPr>
          <w:rFonts w:ascii="Times New Roman" w:hAnsi="Times New Roman" w:cs="Times New Roman"/>
        </w:rPr>
      </w:pPr>
      <w:r>
        <w:rPr>
          <w:rFonts w:ascii="Times New Roman" w:hAnsi="Times New Roman" w:cs="Times New Roman"/>
        </w:rPr>
        <w:t>Energy communities, f</w:t>
      </w:r>
      <w:r w:rsidR="00B37E66" w:rsidRPr="00EF7291">
        <w:rPr>
          <w:rFonts w:ascii="Times New Roman" w:hAnsi="Times New Roman" w:cs="Times New Roman"/>
        </w:rPr>
        <w:t>ollowing the guidelines defined from the European Commission, gained in</w:t>
      </w:r>
      <w:r w:rsidR="007A01DD" w:rsidRPr="00EF7291">
        <w:rPr>
          <w:rFonts w:ascii="Times New Roman" w:hAnsi="Times New Roman" w:cs="Times New Roman"/>
        </w:rPr>
        <w:t xml:space="preserve"> </w:t>
      </w:r>
      <w:r w:rsidR="00B37E66" w:rsidRPr="00EF7291">
        <w:rPr>
          <w:rFonts w:ascii="Times New Roman" w:hAnsi="Times New Roman" w:cs="Times New Roman"/>
        </w:rPr>
        <w:t>the last years an increasing attention</w:t>
      </w:r>
      <w:r>
        <w:rPr>
          <w:rFonts w:ascii="Times New Roman" w:hAnsi="Times New Roman" w:cs="Times New Roman"/>
        </w:rPr>
        <w:t xml:space="preserve"> in the research</w:t>
      </w:r>
      <w:r w:rsidR="007A01DD" w:rsidRPr="00EF7291">
        <w:rPr>
          <w:rFonts w:ascii="Times New Roman" w:hAnsi="Times New Roman" w:cs="Times New Roman"/>
        </w:rPr>
        <w:t>.</w:t>
      </w:r>
      <w:r w:rsidR="00B37E66" w:rsidRPr="00EF7291">
        <w:rPr>
          <w:rFonts w:ascii="Times New Roman" w:hAnsi="Times New Roman" w:cs="Times New Roman"/>
        </w:rPr>
        <w:t xml:space="preserve"> </w:t>
      </w:r>
      <w:r w:rsidR="00C27E20" w:rsidRPr="00EF7291">
        <w:rPr>
          <w:rFonts w:ascii="Times New Roman" w:hAnsi="Times New Roman" w:cs="Times New Roman"/>
        </w:rPr>
        <w:t>In the European context, a regulatory framework for member States has been provided from the Clean Energy Package for all Europeans in 2019</w:t>
      </w:r>
      <w:r w:rsidR="00FE1F2F" w:rsidRPr="00EF7291">
        <w:rPr>
          <w:rFonts w:ascii="Times New Roman" w:hAnsi="Times New Roman" w:cs="Times New Roman"/>
        </w:rPr>
        <w:t xml:space="preserve"> </w:t>
      </w:r>
      <w:sdt>
        <w:sdtPr>
          <w:rPr>
            <w:rFonts w:ascii="Times New Roman" w:hAnsi="Times New Roman" w:cs="Times New Roman"/>
          </w:rPr>
          <w:id w:val="-1495098549"/>
          <w:citation/>
        </w:sdtPr>
        <w:sdtContent>
          <w:r w:rsidR="00FE1F2F" w:rsidRPr="00EF7291">
            <w:rPr>
              <w:rFonts w:ascii="Times New Roman" w:hAnsi="Times New Roman" w:cs="Times New Roman"/>
            </w:rPr>
            <w:fldChar w:fldCharType="begin"/>
          </w:r>
          <w:r w:rsidR="001D7FAE" w:rsidRPr="00EF7291">
            <w:rPr>
              <w:rFonts w:ascii="Times New Roman" w:hAnsi="Times New Roman" w:cs="Times New Roman"/>
            </w:rPr>
            <w:instrText xml:space="preserve">CITATION Eur19 \l 1031 </w:instrText>
          </w:r>
          <w:r w:rsidR="00FE1F2F" w:rsidRPr="00EF7291">
            <w:rPr>
              <w:rFonts w:ascii="Times New Roman" w:hAnsi="Times New Roman" w:cs="Times New Roman"/>
            </w:rPr>
            <w:fldChar w:fldCharType="separate"/>
          </w:r>
          <w:r w:rsidR="003412B7" w:rsidRPr="003412B7">
            <w:rPr>
              <w:rFonts w:ascii="Times New Roman" w:hAnsi="Times New Roman" w:cs="Times New Roman"/>
              <w:noProof/>
            </w:rPr>
            <w:t>(European Commission, 2019)</w:t>
          </w:r>
          <w:r w:rsidR="00FE1F2F" w:rsidRPr="00EF7291">
            <w:rPr>
              <w:rFonts w:ascii="Times New Roman" w:hAnsi="Times New Roman" w:cs="Times New Roman"/>
            </w:rPr>
            <w:fldChar w:fldCharType="end"/>
          </w:r>
        </w:sdtContent>
      </w:sdt>
      <w:r w:rsidR="00FE1F2F" w:rsidRPr="00EF7291">
        <w:rPr>
          <w:rFonts w:ascii="Times New Roman" w:hAnsi="Times New Roman" w:cs="Times New Roman"/>
        </w:rPr>
        <w:t>,</w:t>
      </w:r>
      <w:r w:rsidR="00C27E20" w:rsidRPr="00EF7291">
        <w:rPr>
          <w:rFonts w:ascii="Times New Roman" w:hAnsi="Times New Roman" w:cs="Times New Roman"/>
        </w:rPr>
        <w:t xml:space="preserve"> where the Renewable Energy Directive REDII</w:t>
      </w:r>
      <w:sdt>
        <w:sdtPr>
          <w:rPr>
            <w:rFonts w:ascii="Times New Roman" w:hAnsi="Times New Roman" w:cs="Times New Roman"/>
          </w:rPr>
          <w:id w:val="1545798771"/>
          <w:citation/>
        </w:sdtPr>
        <w:sdtContent>
          <w:r w:rsidR="00844EC5" w:rsidRPr="00EF7291">
            <w:rPr>
              <w:rFonts w:ascii="Times New Roman" w:hAnsi="Times New Roman" w:cs="Times New Roman"/>
            </w:rPr>
            <w:fldChar w:fldCharType="begin"/>
          </w:r>
          <w:r w:rsidR="001D7FAE" w:rsidRPr="00EF7291">
            <w:rPr>
              <w:rFonts w:ascii="Times New Roman" w:hAnsi="Times New Roman" w:cs="Times New Roman"/>
            </w:rPr>
            <w:instrText xml:space="preserve">CITATION Eur18 \l 1031 </w:instrText>
          </w:r>
          <w:r w:rsidR="00844EC5" w:rsidRPr="00EF7291">
            <w:rPr>
              <w:rFonts w:ascii="Times New Roman" w:hAnsi="Times New Roman" w:cs="Times New Roman"/>
            </w:rPr>
            <w:fldChar w:fldCharType="separate"/>
          </w:r>
          <w:r w:rsidR="003412B7">
            <w:rPr>
              <w:rFonts w:ascii="Times New Roman" w:hAnsi="Times New Roman" w:cs="Times New Roman"/>
              <w:noProof/>
            </w:rPr>
            <w:t xml:space="preserve"> </w:t>
          </w:r>
          <w:r w:rsidR="003412B7" w:rsidRPr="003412B7">
            <w:rPr>
              <w:rFonts w:ascii="Times New Roman" w:hAnsi="Times New Roman" w:cs="Times New Roman"/>
              <w:noProof/>
            </w:rPr>
            <w:t>(European Commission, 2018)</w:t>
          </w:r>
          <w:r w:rsidR="00844EC5" w:rsidRPr="00EF7291">
            <w:rPr>
              <w:rFonts w:ascii="Times New Roman" w:hAnsi="Times New Roman" w:cs="Times New Roman"/>
            </w:rPr>
            <w:fldChar w:fldCharType="end"/>
          </w:r>
        </w:sdtContent>
      </w:sdt>
      <w:r w:rsidR="00844EC5" w:rsidRPr="00EF7291">
        <w:rPr>
          <w:rFonts w:ascii="Times New Roman" w:hAnsi="Times New Roman" w:cs="Times New Roman"/>
        </w:rPr>
        <w:t xml:space="preserve"> </w:t>
      </w:r>
      <w:r w:rsidR="00C27E20" w:rsidRPr="00EF7291">
        <w:rPr>
          <w:rFonts w:ascii="Times New Roman" w:hAnsi="Times New Roman" w:cs="Times New Roman"/>
        </w:rPr>
        <w:t xml:space="preserve">and the Electricity Market </w:t>
      </w:r>
      <w:r w:rsidR="00844EC5" w:rsidRPr="00EF7291">
        <w:rPr>
          <w:rFonts w:ascii="Times New Roman" w:hAnsi="Times New Roman" w:cs="Times New Roman"/>
        </w:rPr>
        <w:t>Directive</w:t>
      </w:r>
      <w:sdt>
        <w:sdtPr>
          <w:rPr>
            <w:rFonts w:ascii="Times New Roman" w:hAnsi="Times New Roman" w:cs="Times New Roman"/>
          </w:rPr>
          <w:id w:val="337664594"/>
          <w:citation/>
        </w:sdtPr>
        <w:sdtContent>
          <w:r w:rsidR="00844EC5" w:rsidRPr="00EF7291">
            <w:rPr>
              <w:rFonts w:ascii="Times New Roman" w:hAnsi="Times New Roman" w:cs="Times New Roman"/>
            </w:rPr>
            <w:fldChar w:fldCharType="begin"/>
          </w:r>
          <w:r w:rsidR="001D7FAE" w:rsidRPr="00EF7291">
            <w:rPr>
              <w:rFonts w:ascii="Times New Roman" w:hAnsi="Times New Roman" w:cs="Times New Roman"/>
            </w:rPr>
            <w:instrText xml:space="preserve">CITATION Eur191 \l 1031 </w:instrText>
          </w:r>
          <w:r w:rsidR="00844EC5" w:rsidRPr="00EF7291">
            <w:rPr>
              <w:rFonts w:ascii="Times New Roman" w:hAnsi="Times New Roman" w:cs="Times New Roman"/>
            </w:rPr>
            <w:fldChar w:fldCharType="separate"/>
          </w:r>
          <w:r w:rsidR="003412B7">
            <w:rPr>
              <w:rFonts w:ascii="Times New Roman" w:hAnsi="Times New Roman" w:cs="Times New Roman"/>
              <w:noProof/>
            </w:rPr>
            <w:t xml:space="preserve"> </w:t>
          </w:r>
          <w:r w:rsidR="003412B7" w:rsidRPr="003412B7">
            <w:rPr>
              <w:rFonts w:ascii="Times New Roman" w:hAnsi="Times New Roman" w:cs="Times New Roman"/>
              <w:noProof/>
            </w:rPr>
            <w:t>(European Commission, 2019)</w:t>
          </w:r>
          <w:r w:rsidR="00844EC5" w:rsidRPr="00EF7291">
            <w:rPr>
              <w:rFonts w:ascii="Times New Roman" w:hAnsi="Times New Roman" w:cs="Times New Roman"/>
            </w:rPr>
            <w:fldChar w:fldCharType="end"/>
          </w:r>
        </w:sdtContent>
      </w:sdt>
      <w:r w:rsidR="00C27E20" w:rsidRPr="00EF7291">
        <w:rPr>
          <w:rFonts w:ascii="Times New Roman" w:hAnsi="Times New Roman" w:cs="Times New Roman"/>
        </w:rPr>
        <w:t xml:space="preserve"> paved guidelines</w:t>
      </w:r>
      <w:r>
        <w:rPr>
          <w:rFonts w:ascii="Times New Roman" w:hAnsi="Times New Roman" w:cs="Times New Roman"/>
        </w:rPr>
        <w:t xml:space="preserve"> for EU member states</w:t>
      </w:r>
      <w:r w:rsidR="00C27E20" w:rsidRPr="00EF7291">
        <w:rPr>
          <w:rFonts w:ascii="Times New Roman" w:hAnsi="Times New Roman" w:cs="Times New Roman"/>
        </w:rPr>
        <w:t xml:space="preserve"> </w:t>
      </w:r>
      <w:r>
        <w:rPr>
          <w:rFonts w:ascii="Times New Roman" w:hAnsi="Times New Roman" w:cs="Times New Roman"/>
        </w:rPr>
        <w:t xml:space="preserve">to implement </w:t>
      </w:r>
      <w:r w:rsidR="005955A9" w:rsidRPr="00EF7291">
        <w:rPr>
          <w:rFonts w:ascii="Times New Roman" w:hAnsi="Times New Roman" w:cs="Times New Roman"/>
        </w:rPr>
        <w:t>renewable energy communities (REC)</w:t>
      </w:r>
      <w:r>
        <w:rPr>
          <w:rFonts w:ascii="Times New Roman" w:hAnsi="Times New Roman" w:cs="Times New Roman"/>
        </w:rPr>
        <w:t xml:space="preserve"> and </w:t>
      </w:r>
      <w:r w:rsidR="005955A9" w:rsidRPr="00EF7291">
        <w:rPr>
          <w:rFonts w:ascii="Times New Roman" w:hAnsi="Times New Roman" w:cs="Times New Roman"/>
        </w:rPr>
        <w:t>citizen energy communities (CEC)</w:t>
      </w:r>
      <w:r>
        <w:rPr>
          <w:rFonts w:ascii="Times New Roman" w:hAnsi="Times New Roman" w:cs="Times New Roman"/>
        </w:rPr>
        <w:t>, respectively</w:t>
      </w:r>
      <w:r w:rsidR="00EA2985" w:rsidRPr="00EF7291">
        <w:rPr>
          <w:rFonts w:ascii="Times New Roman" w:hAnsi="Times New Roman" w:cs="Times New Roman"/>
        </w:rPr>
        <w:t xml:space="preserve">. </w:t>
      </w:r>
      <w:r w:rsidR="00EA2985" w:rsidRPr="003412B7">
        <w:rPr>
          <w:rFonts w:ascii="Times New Roman" w:hAnsi="Times New Roman" w:cs="Times New Roman"/>
          <w:lang w:val="de-DE"/>
        </w:rPr>
        <w:t xml:space="preserve">In </w:t>
      </w:r>
      <w:proofErr w:type="spellStart"/>
      <w:r w:rsidR="00EA2985" w:rsidRPr="003412B7">
        <w:rPr>
          <w:rFonts w:ascii="Times New Roman" w:hAnsi="Times New Roman" w:cs="Times New Roman"/>
          <w:lang w:val="de-DE"/>
        </w:rPr>
        <w:t>the</w:t>
      </w:r>
      <w:proofErr w:type="spellEnd"/>
      <w:r w:rsidR="00EA2985" w:rsidRPr="003412B7">
        <w:rPr>
          <w:rFonts w:ascii="Times New Roman" w:hAnsi="Times New Roman" w:cs="Times New Roman"/>
          <w:lang w:val="de-DE"/>
        </w:rPr>
        <w:t xml:space="preserve"> Austrian </w:t>
      </w:r>
      <w:proofErr w:type="spellStart"/>
      <w:r w:rsidR="00EA2985" w:rsidRPr="003412B7">
        <w:rPr>
          <w:rFonts w:ascii="Times New Roman" w:hAnsi="Times New Roman" w:cs="Times New Roman"/>
          <w:lang w:val="de-DE"/>
        </w:rPr>
        <w:t>regulatory</w:t>
      </w:r>
      <w:proofErr w:type="spellEnd"/>
      <w:r w:rsidR="00EA2985" w:rsidRPr="003412B7">
        <w:rPr>
          <w:rFonts w:ascii="Times New Roman" w:hAnsi="Times New Roman" w:cs="Times New Roman"/>
          <w:lang w:val="de-DE"/>
        </w:rPr>
        <w:t xml:space="preserve"> </w:t>
      </w:r>
      <w:proofErr w:type="spellStart"/>
      <w:r w:rsidR="00EA2985" w:rsidRPr="003412B7">
        <w:rPr>
          <w:rFonts w:ascii="Times New Roman" w:hAnsi="Times New Roman" w:cs="Times New Roman"/>
          <w:lang w:val="de-DE"/>
        </w:rPr>
        <w:t>framework</w:t>
      </w:r>
      <w:proofErr w:type="spellEnd"/>
      <w:r w:rsidR="00EA2985" w:rsidRPr="003412B7">
        <w:rPr>
          <w:rFonts w:ascii="Times New Roman" w:hAnsi="Times New Roman" w:cs="Times New Roman"/>
          <w:lang w:val="de-DE"/>
        </w:rPr>
        <w:t xml:space="preserve">, </w:t>
      </w:r>
      <w:proofErr w:type="spellStart"/>
      <w:r w:rsidR="00EA2985" w:rsidRPr="003412B7">
        <w:rPr>
          <w:rFonts w:ascii="Times New Roman" w:hAnsi="Times New Roman" w:cs="Times New Roman"/>
          <w:lang w:val="de-DE"/>
        </w:rPr>
        <w:t>the</w:t>
      </w:r>
      <w:proofErr w:type="spellEnd"/>
      <w:r w:rsidR="00EA2985" w:rsidRPr="003412B7">
        <w:rPr>
          <w:rFonts w:ascii="Times New Roman" w:hAnsi="Times New Roman" w:cs="Times New Roman"/>
          <w:lang w:val="de-DE"/>
        </w:rPr>
        <w:t xml:space="preserve"> RECs </w:t>
      </w:r>
      <w:proofErr w:type="spellStart"/>
      <w:r w:rsidR="00EA2985" w:rsidRPr="003412B7">
        <w:rPr>
          <w:rFonts w:ascii="Times New Roman" w:hAnsi="Times New Roman" w:cs="Times New Roman"/>
          <w:lang w:val="de-DE"/>
        </w:rPr>
        <w:t>definition</w:t>
      </w:r>
      <w:proofErr w:type="spellEnd"/>
      <w:r w:rsidR="00EA2985" w:rsidRPr="003412B7">
        <w:rPr>
          <w:rFonts w:ascii="Times New Roman" w:hAnsi="Times New Roman" w:cs="Times New Roman"/>
          <w:lang w:val="de-DE"/>
        </w:rPr>
        <w:t xml:space="preserve"> </w:t>
      </w:r>
      <w:proofErr w:type="spellStart"/>
      <w:r w:rsidR="00EA2985" w:rsidRPr="003412B7">
        <w:rPr>
          <w:rFonts w:ascii="Times New Roman" w:hAnsi="Times New Roman" w:cs="Times New Roman"/>
          <w:lang w:val="de-DE"/>
        </w:rPr>
        <w:t>from</w:t>
      </w:r>
      <w:proofErr w:type="spellEnd"/>
      <w:r w:rsidR="00EA2985" w:rsidRPr="003412B7">
        <w:rPr>
          <w:rFonts w:ascii="Times New Roman" w:hAnsi="Times New Roman" w:cs="Times New Roman"/>
          <w:lang w:val="de-DE"/>
        </w:rPr>
        <w:t xml:space="preserve"> REDII </w:t>
      </w:r>
      <w:proofErr w:type="spellStart"/>
      <w:r w:rsidR="00EA2985" w:rsidRPr="003412B7">
        <w:rPr>
          <w:rFonts w:ascii="Times New Roman" w:hAnsi="Times New Roman" w:cs="Times New Roman"/>
          <w:lang w:val="de-DE"/>
        </w:rPr>
        <w:t>Directive</w:t>
      </w:r>
      <w:proofErr w:type="spellEnd"/>
      <w:r w:rsidR="00EA2985" w:rsidRPr="003412B7">
        <w:rPr>
          <w:rFonts w:ascii="Times New Roman" w:hAnsi="Times New Roman" w:cs="Times New Roman"/>
          <w:lang w:val="de-DE"/>
        </w:rPr>
        <w:t xml:space="preserve"> </w:t>
      </w:r>
      <w:proofErr w:type="spellStart"/>
      <w:r w:rsidR="00EA2985" w:rsidRPr="003412B7">
        <w:rPr>
          <w:rFonts w:ascii="Times New Roman" w:hAnsi="Times New Roman" w:cs="Times New Roman"/>
          <w:lang w:val="de-DE"/>
        </w:rPr>
        <w:t>has</w:t>
      </w:r>
      <w:proofErr w:type="spellEnd"/>
      <w:r w:rsidR="00EA2985" w:rsidRPr="003412B7">
        <w:rPr>
          <w:rFonts w:ascii="Times New Roman" w:hAnsi="Times New Roman" w:cs="Times New Roman"/>
          <w:lang w:val="de-DE"/>
        </w:rPr>
        <w:t xml:space="preserve"> </w:t>
      </w:r>
      <w:proofErr w:type="spellStart"/>
      <w:r w:rsidR="00EA2985" w:rsidRPr="003412B7">
        <w:rPr>
          <w:rFonts w:ascii="Times New Roman" w:hAnsi="Times New Roman" w:cs="Times New Roman"/>
          <w:lang w:val="de-DE"/>
        </w:rPr>
        <w:t>been</w:t>
      </w:r>
      <w:proofErr w:type="spellEnd"/>
      <w:r w:rsidR="00EA2985" w:rsidRPr="003412B7">
        <w:rPr>
          <w:rFonts w:ascii="Times New Roman" w:hAnsi="Times New Roman" w:cs="Times New Roman"/>
          <w:lang w:val="de-DE"/>
        </w:rPr>
        <w:t xml:space="preserve"> </w:t>
      </w:r>
      <w:proofErr w:type="spellStart"/>
      <w:r w:rsidR="00EA2985" w:rsidRPr="003412B7">
        <w:rPr>
          <w:rFonts w:ascii="Times New Roman" w:hAnsi="Times New Roman" w:cs="Times New Roman"/>
          <w:lang w:val="de-DE"/>
        </w:rPr>
        <w:t>transposed</w:t>
      </w:r>
      <w:proofErr w:type="spellEnd"/>
      <w:r w:rsidR="00EA2985" w:rsidRPr="003412B7">
        <w:rPr>
          <w:rFonts w:ascii="Times New Roman" w:hAnsi="Times New Roman" w:cs="Times New Roman"/>
          <w:lang w:val="de-DE"/>
        </w:rPr>
        <w:t xml:space="preserve"> </w:t>
      </w:r>
      <w:proofErr w:type="spellStart"/>
      <w:r w:rsidR="00EA2985" w:rsidRPr="003412B7">
        <w:rPr>
          <w:rFonts w:ascii="Times New Roman" w:hAnsi="Times New Roman" w:cs="Times New Roman"/>
          <w:lang w:val="de-DE"/>
        </w:rPr>
        <w:t>into</w:t>
      </w:r>
      <w:proofErr w:type="spellEnd"/>
      <w:r w:rsidR="00EA2985" w:rsidRPr="003412B7">
        <w:rPr>
          <w:rFonts w:ascii="Times New Roman" w:hAnsi="Times New Roman" w:cs="Times New Roman"/>
          <w:lang w:val="de-DE"/>
        </w:rPr>
        <w:t xml:space="preserve"> </w:t>
      </w:r>
      <w:proofErr w:type="spellStart"/>
      <w:r w:rsidR="00EA2985" w:rsidRPr="003412B7">
        <w:rPr>
          <w:rFonts w:ascii="Times New Roman" w:hAnsi="Times New Roman" w:cs="Times New Roman"/>
          <w:lang w:val="de-DE"/>
        </w:rPr>
        <w:t>the</w:t>
      </w:r>
      <w:proofErr w:type="spellEnd"/>
      <w:r w:rsidR="00EA2985" w:rsidRPr="003412B7">
        <w:rPr>
          <w:rFonts w:ascii="Times New Roman" w:hAnsi="Times New Roman" w:cs="Times New Roman"/>
          <w:lang w:val="de-DE"/>
        </w:rPr>
        <w:t xml:space="preserve"> </w:t>
      </w:r>
      <w:proofErr w:type="spellStart"/>
      <w:r w:rsidR="00EA2985" w:rsidRPr="003412B7">
        <w:rPr>
          <w:rFonts w:ascii="Times New Roman" w:hAnsi="Times New Roman" w:cs="Times New Roman"/>
          <w:lang w:val="de-DE"/>
        </w:rPr>
        <w:t>Renewable</w:t>
      </w:r>
      <w:proofErr w:type="spellEnd"/>
      <w:r w:rsidR="00EA2985" w:rsidRPr="003412B7">
        <w:rPr>
          <w:rFonts w:ascii="Times New Roman" w:hAnsi="Times New Roman" w:cs="Times New Roman"/>
          <w:lang w:val="de-DE"/>
        </w:rPr>
        <w:t xml:space="preserve"> Energy Expansion Act</w:t>
      </w:r>
      <w:r w:rsidR="00A0322B" w:rsidRPr="003412B7">
        <w:rPr>
          <w:rFonts w:ascii="Times New Roman" w:hAnsi="Times New Roman" w:cs="Times New Roman"/>
          <w:lang w:val="de-DE"/>
        </w:rPr>
        <w:t xml:space="preserve"> </w:t>
      </w:r>
      <w:sdt>
        <w:sdtPr>
          <w:rPr>
            <w:rFonts w:ascii="Times New Roman" w:hAnsi="Times New Roman" w:cs="Times New Roman"/>
          </w:rPr>
          <w:id w:val="1847124970"/>
          <w:citation/>
        </w:sdtPr>
        <w:sdtContent>
          <w:r w:rsidR="00665D3D">
            <w:rPr>
              <w:rFonts w:ascii="Times New Roman" w:hAnsi="Times New Roman" w:cs="Times New Roman"/>
            </w:rPr>
            <w:fldChar w:fldCharType="begin"/>
          </w:r>
          <w:r w:rsidR="003412B7">
            <w:rPr>
              <w:rFonts w:ascii="Times New Roman" w:hAnsi="Times New Roman" w:cs="Times New Roman"/>
              <w:lang w:val="de-DE"/>
            </w:rPr>
            <w:instrText xml:space="preserve">CITATION Bun \y  \t  \l 1031 </w:instrText>
          </w:r>
          <w:r w:rsidR="00665D3D">
            <w:rPr>
              <w:rFonts w:ascii="Times New Roman" w:hAnsi="Times New Roman" w:cs="Times New Roman"/>
            </w:rPr>
            <w:fldChar w:fldCharType="separate"/>
          </w:r>
          <w:r w:rsidR="003412B7" w:rsidRPr="003412B7">
            <w:rPr>
              <w:rFonts w:ascii="Times New Roman" w:hAnsi="Times New Roman" w:cs="Times New Roman"/>
              <w:noProof/>
              <w:lang w:val="de-DE"/>
            </w:rPr>
            <w:t>(Bundesgesetz über den Ausbau von Energie aus erneuerbaren Quellen (Erneuerbaren-Ausbau-Gesetz – EAG))</w:t>
          </w:r>
          <w:r w:rsidR="00665D3D">
            <w:rPr>
              <w:rFonts w:ascii="Times New Roman" w:hAnsi="Times New Roman" w:cs="Times New Roman"/>
            </w:rPr>
            <w:fldChar w:fldCharType="end"/>
          </w:r>
        </w:sdtContent>
      </w:sdt>
      <w:r w:rsidR="00EA2985" w:rsidRPr="003412B7">
        <w:rPr>
          <w:rFonts w:ascii="Times New Roman" w:hAnsi="Times New Roman" w:cs="Times New Roman"/>
          <w:lang w:val="de-DE"/>
        </w:rPr>
        <w:t xml:space="preserve">, </w:t>
      </w:r>
      <w:proofErr w:type="spellStart"/>
      <w:r w:rsidR="00EA2985" w:rsidRPr="003412B7">
        <w:rPr>
          <w:rFonts w:ascii="Times New Roman" w:hAnsi="Times New Roman" w:cs="Times New Roman"/>
          <w:lang w:val="de-DE"/>
        </w:rPr>
        <w:t>whereas</w:t>
      </w:r>
      <w:proofErr w:type="spellEnd"/>
      <w:r w:rsidR="00EA2985" w:rsidRPr="003412B7">
        <w:rPr>
          <w:rFonts w:ascii="Times New Roman" w:hAnsi="Times New Roman" w:cs="Times New Roman"/>
          <w:lang w:val="de-DE"/>
        </w:rPr>
        <w:t xml:space="preserve"> EMD </w:t>
      </w:r>
      <w:proofErr w:type="spellStart"/>
      <w:r w:rsidR="00EA2985" w:rsidRPr="003412B7">
        <w:rPr>
          <w:rFonts w:ascii="Times New Roman" w:hAnsi="Times New Roman" w:cs="Times New Roman"/>
          <w:lang w:val="de-DE"/>
        </w:rPr>
        <w:t>guidelines</w:t>
      </w:r>
      <w:proofErr w:type="spellEnd"/>
      <w:r w:rsidR="00EA2985" w:rsidRPr="003412B7">
        <w:rPr>
          <w:rFonts w:ascii="Times New Roman" w:hAnsi="Times New Roman" w:cs="Times New Roman"/>
          <w:lang w:val="de-DE"/>
        </w:rPr>
        <w:t xml:space="preserve"> </w:t>
      </w:r>
      <w:proofErr w:type="spellStart"/>
      <w:r w:rsidR="00EA2985" w:rsidRPr="003412B7">
        <w:rPr>
          <w:rFonts w:ascii="Times New Roman" w:hAnsi="Times New Roman" w:cs="Times New Roman"/>
          <w:lang w:val="de-DE"/>
        </w:rPr>
        <w:t>are</w:t>
      </w:r>
      <w:proofErr w:type="spellEnd"/>
      <w:r w:rsidR="00EA2985" w:rsidRPr="003412B7">
        <w:rPr>
          <w:rFonts w:ascii="Times New Roman" w:hAnsi="Times New Roman" w:cs="Times New Roman"/>
          <w:lang w:val="de-DE"/>
        </w:rPr>
        <w:t xml:space="preserve"> </w:t>
      </w:r>
      <w:proofErr w:type="spellStart"/>
      <w:r w:rsidR="00EA2985" w:rsidRPr="003412B7">
        <w:rPr>
          <w:rFonts w:ascii="Times New Roman" w:hAnsi="Times New Roman" w:cs="Times New Roman"/>
          <w:lang w:val="de-DE"/>
        </w:rPr>
        <w:t>transposed</w:t>
      </w:r>
      <w:proofErr w:type="spellEnd"/>
      <w:r w:rsidR="00EA2985" w:rsidRPr="003412B7">
        <w:rPr>
          <w:rFonts w:ascii="Times New Roman" w:hAnsi="Times New Roman" w:cs="Times New Roman"/>
          <w:lang w:val="de-DE"/>
        </w:rPr>
        <w:t xml:space="preserve"> </w:t>
      </w:r>
      <w:proofErr w:type="spellStart"/>
      <w:r w:rsidR="00EA2985" w:rsidRPr="003412B7">
        <w:rPr>
          <w:rFonts w:ascii="Times New Roman" w:hAnsi="Times New Roman" w:cs="Times New Roman"/>
          <w:lang w:val="de-DE"/>
        </w:rPr>
        <w:t>into</w:t>
      </w:r>
      <w:proofErr w:type="spellEnd"/>
      <w:r w:rsidR="00EA2985" w:rsidRPr="003412B7">
        <w:rPr>
          <w:rFonts w:ascii="Times New Roman" w:hAnsi="Times New Roman" w:cs="Times New Roman"/>
          <w:lang w:val="de-DE"/>
        </w:rPr>
        <w:t xml:space="preserve"> </w:t>
      </w:r>
      <w:proofErr w:type="spellStart"/>
      <w:r w:rsidR="00EA2985" w:rsidRPr="003412B7">
        <w:rPr>
          <w:rFonts w:ascii="Times New Roman" w:hAnsi="Times New Roman" w:cs="Times New Roman"/>
          <w:lang w:val="de-DE"/>
        </w:rPr>
        <w:t>the</w:t>
      </w:r>
      <w:proofErr w:type="spellEnd"/>
      <w:r w:rsidR="00EA2985" w:rsidRPr="003412B7">
        <w:rPr>
          <w:rFonts w:ascii="Times New Roman" w:hAnsi="Times New Roman" w:cs="Times New Roman"/>
          <w:lang w:val="de-DE"/>
        </w:rPr>
        <w:t xml:space="preserve"> </w:t>
      </w:r>
      <w:proofErr w:type="spellStart"/>
      <w:r w:rsidR="00A0322B" w:rsidRPr="003412B7">
        <w:rPr>
          <w:rFonts w:ascii="Times New Roman" w:hAnsi="Times New Roman" w:cs="Times New Roman"/>
          <w:lang w:val="de-DE"/>
        </w:rPr>
        <w:t>Electricity</w:t>
      </w:r>
      <w:proofErr w:type="spellEnd"/>
      <w:r w:rsidR="00A0322B" w:rsidRPr="003412B7">
        <w:rPr>
          <w:rFonts w:ascii="Times New Roman" w:hAnsi="Times New Roman" w:cs="Times New Roman"/>
          <w:lang w:val="de-DE"/>
        </w:rPr>
        <w:t xml:space="preserve"> Act </w:t>
      </w:r>
      <w:sdt>
        <w:sdtPr>
          <w:rPr>
            <w:rFonts w:ascii="Times New Roman" w:hAnsi="Times New Roman" w:cs="Times New Roman"/>
          </w:rPr>
          <w:id w:val="-1596165867"/>
          <w:citation/>
        </w:sdtPr>
        <w:sdtContent>
          <w:r w:rsidR="00665D3D">
            <w:rPr>
              <w:rFonts w:ascii="Times New Roman" w:hAnsi="Times New Roman" w:cs="Times New Roman"/>
            </w:rPr>
            <w:fldChar w:fldCharType="begin"/>
          </w:r>
          <w:r w:rsidR="003412B7">
            <w:rPr>
              <w:rFonts w:ascii="Times New Roman" w:hAnsi="Times New Roman" w:cs="Times New Roman"/>
              <w:lang w:val="de-DE"/>
            </w:rPr>
            <w:instrText xml:space="preserve">CITATION Bun1 \y  \t  \l 1031 </w:instrText>
          </w:r>
          <w:r w:rsidR="00665D3D">
            <w:rPr>
              <w:rFonts w:ascii="Times New Roman" w:hAnsi="Times New Roman" w:cs="Times New Roman"/>
            </w:rPr>
            <w:fldChar w:fldCharType="separate"/>
          </w:r>
          <w:r w:rsidR="003412B7" w:rsidRPr="003412B7">
            <w:rPr>
              <w:rFonts w:ascii="Times New Roman" w:hAnsi="Times New Roman" w:cs="Times New Roman"/>
              <w:noProof/>
              <w:lang w:val="de-DE"/>
            </w:rPr>
            <w:t>(Bundesgesetz, mit dem die Organisation auf dem Gebiet der Elektrizitätswirtschaft neu geregelt wird (Elektrizitätswirtschafts- und –organisationsgesetz 2010 – EIWOG 2010))</w:t>
          </w:r>
          <w:r w:rsidR="00665D3D">
            <w:rPr>
              <w:rFonts w:ascii="Times New Roman" w:hAnsi="Times New Roman" w:cs="Times New Roman"/>
            </w:rPr>
            <w:fldChar w:fldCharType="end"/>
          </w:r>
        </w:sdtContent>
      </w:sdt>
      <w:r w:rsidR="00665D3D" w:rsidRPr="003412B7">
        <w:rPr>
          <w:rFonts w:ascii="Times New Roman" w:hAnsi="Times New Roman" w:cs="Times New Roman"/>
          <w:lang w:val="de-DE"/>
        </w:rPr>
        <w:t>.</w:t>
      </w:r>
    </w:p>
    <w:p w14:paraId="59F0AAD1" w14:textId="7F17B527" w:rsidR="00A328B0" w:rsidRPr="00EF7291" w:rsidRDefault="00B37E66" w:rsidP="00F629D2">
      <w:pPr>
        <w:jc w:val="both"/>
        <w:rPr>
          <w:rFonts w:ascii="Times New Roman" w:hAnsi="Times New Roman" w:cs="Times New Roman"/>
        </w:rPr>
      </w:pPr>
      <w:r w:rsidRPr="00EF7291">
        <w:rPr>
          <w:rFonts w:ascii="Times New Roman" w:hAnsi="Times New Roman" w:cs="Times New Roman"/>
        </w:rPr>
        <w:t xml:space="preserve">Although attractive for citizens, </w:t>
      </w:r>
      <w:r w:rsidR="005879E5">
        <w:rPr>
          <w:rFonts w:ascii="Times New Roman" w:hAnsi="Times New Roman" w:cs="Times New Roman"/>
        </w:rPr>
        <w:t>t</w:t>
      </w:r>
      <w:r w:rsidR="00110F19" w:rsidRPr="00EF7291">
        <w:rPr>
          <w:rFonts w:ascii="Times New Roman" w:hAnsi="Times New Roman" w:cs="Times New Roman"/>
        </w:rPr>
        <w:t xml:space="preserve">he </w:t>
      </w:r>
      <w:r w:rsidR="004C1C64">
        <w:rPr>
          <w:rFonts w:ascii="Times New Roman" w:hAnsi="Times New Roman" w:cs="Times New Roman"/>
        </w:rPr>
        <w:t>prioritization</w:t>
      </w:r>
      <w:r w:rsidR="00110F19" w:rsidRPr="00EF7291">
        <w:rPr>
          <w:rFonts w:ascii="Times New Roman" w:hAnsi="Times New Roman" w:cs="Times New Roman"/>
        </w:rPr>
        <w:t xml:space="preserve"> of local benefits </w:t>
      </w:r>
      <w:r w:rsidR="004C1C64">
        <w:rPr>
          <w:rFonts w:ascii="Times New Roman" w:hAnsi="Times New Roman" w:cs="Times New Roman"/>
        </w:rPr>
        <w:t>for</w:t>
      </w:r>
      <w:r w:rsidR="00110F19" w:rsidRPr="00EF7291">
        <w:rPr>
          <w:rFonts w:ascii="Times New Roman" w:hAnsi="Times New Roman" w:cs="Times New Roman"/>
        </w:rPr>
        <w:t xml:space="preserve"> </w:t>
      </w:r>
      <w:r w:rsidR="005879E5">
        <w:rPr>
          <w:rFonts w:ascii="Times New Roman" w:hAnsi="Times New Roman" w:cs="Times New Roman"/>
        </w:rPr>
        <w:t xml:space="preserve">local </w:t>
      </w:r>
      <w:r w:rsidR="00110F19" w:rsidRPr="00EF7291">
        <w:rPr>
          <w:rFonts w:ascii="Times New Roman" w:hAnsi="Times New Roman" w:cs="Times New Roman"/>
        </w:rPr>
        <w:t xml:space="preserve">welfare </w:t>
      </w:r>
      <w:r w:rsidR="00485334">
        <w:rPr>
          <w:rFonts w:ascii="Times New Roman" w:hAnsi="Times New Roman" w:cs="Times New Roman"/>
        </w:rPr>
        <w:t xml:space="preserve">could </w:t>
      </w:r>
      <w:r w:rsidR="004C1C64" w:rsidRPr="00EF7291">
        <w:rPr>
          <w:rFonts w:ascii="Times New Roman" w:hAnsi="Times New Roman" w:cs="Times New Roman"/>
        </w:rPr>
        <w:t>represent</w:t>
      </w:r>
      <w:r w:rsidR="00110F19" w:rsidRPr="00EF7291">
        <w:rPr>
          <w:rFonts w:ascii="Times New Roman" w:hAnsi="Times New Roman" w:cs="Times New Roman"/>
        </w:rPr>
        <w:t xml:space="preserve"> a challenge while embedding their participation </w:t>
      </w:r>
      <w:r w:rsidR="004C1C64">
        <w:rPr>
          <w:rFonts w:ascii="Times New Roman" w:hAnsi="Times New Roman" w:cs="Times New Roman"/>
        </w:rPr>
        <w:t>within</w:t>
      </w:r>
      <w:r w:rsidR="00110F19" w:rsidRPr="00EF7291">
        <w:rPr>
          <w:rFonts w:ascii="Times New Roman" w:hAnsi="Times New Roman" w:cs="Times New Roman"/>
        </w:rPr>
        <w:t xml:space="preserve"> more </w:t>
      </w:r>
      <w:r w:rsidR="005879E5">
        <w:rPr>
          <w:rFonts w:ascii="Times New Roman" w:hAnsi="Times New Roman" w:cs="Times New Roman"/>
        </w:rPr>
        <w:t xml:space="preserve">active </w:t>
      </w:r>
      <w:r w:rsidR="00110F19" w:rsidRPr="00EF7291">
        <w:rPr>
          <w:rFonts w:ascii="Times New Roman" w:hAnsi="Times New Roman" w:cs="Times New Roman"/>
        </w:rPr>
        <w:t>markets. Energy communities are</w:t>
      </w:r>
      <w:r w:rsidR="005879E5">
        <w:rPr>
          <w:rFonts w:ascii="Times New Roman" w:hAnsi="Times New Roman" w:cs="Times New Roman"/>
        </w:rPr>
        <w:t xml:space="preserve"> already </w:t>
      </w:r>
      <w:r w:rsidR="00110F19" w:rsidRPr="00EF7291">
        <w:rPr>
          <w:rFonts w:ascii="Times New Roman" w:hAnsi="Times New Roman" w:cs="Times New Roman"/>
        </w:rPr>
        <w:t>entitle</w:t>
      </w:r>
      <w:r w:rsidR="002E09F9" w:rsidRPr="00EF7291">
        <w:rPr>
          <w:rFonts w:ascii="Times New Roman" w:hAnsi="Times New Roman" w:cs="Times New Roman"/>
        </w:rPr>
        <w:t>d</w:t>
      </w:r>
      <w:r w:rsidR="00110F19" w:rsidRPr="00EF7291">
        <w:rPr>
          <w:rFonts w:ascii="Times New Roman" w:hAnsi="Times New Roman" w:cs="Times New Roman"/>
        </w:rPr>
        <w:t xml:space="preserve"> to provide flexibility services through its members either individually or through aggregation</w:t>
      </w:r>
      <w:r w:rsidR="002E09F9" w:rsidRPr="00EF7291">
        <w:rPr>
          <w:rFonts w:ascii="Times New Roman" w:hAnsi="Times New Roman" w:cs="Times New Roman"/>
        </w:rPr>
        <w:t xml:space="preserve">. However, the data exchange between the involved actors </w:t>
      </w:r>
      <w:proofErr w:type="gramStart"/>
      <w:r w:rsidR="002E09F9" w:rsidRPr="00EF7291">
        <w:rPr>
          <w:rFonts w:ascii="Times New Roman" w:hAnsi="Times New Roman" w:cs="Times New Roman"/>
        </w:rPr>
        <w:t>result</w:t>
      </w:r>
      <w:proofErr w:type="gramEnd"/>
      <w:r w:rsidR="002E09F9" w:rsidRPr="00EF7291">
        <w:rPr>
          <w:rFonts w:ascii="Times New Roman" w:hAnsi="Times New Roman" w:cs="Times New Roman"/>
        </w:rPr>
        <w:t xml:space="preserve"> to be poorly regulated, especially between independent aggregators and energy suppliers</w:t>
      </w:r>
      <w:r w:rsidR="00485334">
        <w:rPr>
          <w:rFonts w:ascii="Times New Roman" w:hAnsi="Times New Roman" w:cs="Times New Roman"/>
        </w:rPr>
        <w:t xml:space="preserve"> </w:t>
      </w:r>
      <w:sdt>
        <w:sdtPr>
          <w:rPr>
            <w:rFonts w:ascii="Times New Roman" w:hAnsi="Times New Roman" w:cs="Times New Roman"/>
          </w:rPr>
          <w:id w:val="321387982"/>
          <w:citation/>
        </w:sdtPr>
        <w:sdtContent>
          <w:r w:rsidR="00485334">
            <w:rPr>
              <w:rFonts w:ascii="Times New Roman" w:hAnsi="Times New Roman" w:cs="Times New Roman"/>
            </w:rPr>
            <w:fldChar w:fldCharType="begin"/>
          </w:r>
          <w:r w:rsidR="00485334" w:rsidRPr="00485334">
            <w:rPr>
              <w:rFonts w:ascii="Times New Roman" w:hAnsi="Times New Roman" w:cs="Times New Roman"/>
            </w:rPr>
            <w:instrText xml:space="preserve"> CITATION Per24 \l 1031 </w:instrText>
          </w:r>
          <w:r w:rsidR="00485334">
            <w:rPr>
              <w:rFonts w:ascii="Times New Roman" w:hAnsi="Times New Roman" w:cs="Times New Roman"/>
            </w:rPr>
            <w:fldChar w:fldCharType="separate"/>
          </w:r>
          <w:r w:rsidR="003412B7" w:rsidRPr="003412B7">
            <w:rPr>
              <w:rFonts w:ascii="Times New Roman" w:hAnsi="Times New Roman" w:cs="Times New Roman"/>
              <w:noProof/>
            </w:rPr>
            <w:t>(Perger, Kalt, Kabinger, Materazzi-Wagner, &amp; Kaiser, 2024)</w:t>
          </w:r>
          <w:r w:rsidR="00485334">
            <w:rPr>
              <w:rFonts w:ascii="Times New Roman" w:hAnsi="Times New Roman" w:cs="Times New Roman"/>
            </w:rPr>
            <w:fldChar w:fldCharType="end"/>
          </w:r>
        </w:sdtContent>
      </w:sdt>
      <w:r w:rsidR="002E09F9" w:rsidRPr="00EF7291">
        <w:rPr>
          <w:rFonts w:ascii="Times New Roman" w:hAnsi="Times New Roman" w:cs="Times New Roman"/>
        </w:rPr>
        <w:t xml:space="preserve">. On the technological side, smart energy management </w:t>
      </w:r>
      <w:r w:rsidR="008624A9">
        <w:rPr>
          <w:rFonts w:ascii="Times New Roman" w:hAnsi="Times New Roman" w:cs="Times New Roman"/>
        </w:rPr>
        <w:t>and IoT technologies</w:t>
      </w:r>
      <w:r w:rsidR="002E09F9" w:rsidRPr="00EF7291">
        <w:rPr>
          <w:rFonts w:ascii="Times New Roman" w:hAnsi="Times New Roman" w:cs="Times New Roman"/>
        </w:rPr>
        <w:t xml:space="preserve"> </w:t>
      </w:r>
      <w:r w:rsidR="000338B4">
        <w:rPr>
          <w:rFonts w:ascii="Times New Roman" w:hAnsi="Times New Roman" w:cs="Times New Roman"/>
        </w:rPr>
        <w:t>need to achieve</w:t>
      </w:r>
      <w:r w:rsidR="002E09F9" w:rsidRPr="00EF7291">
        <w:rPr>
          <w:rFonts w:ascii="Times New Roman" w:hAnsi="Times New Roman" w:cs="Times New Roman"/>
        </w:rPr>
        <w:t xml:space="preserve"> a sufficient rollout</w:t>
      </w:r>
      <w:r w:rsidR="000338B4">
        <w:rPr>
          <w:rFonts w:ascii="Times New Roman" w:hAnsi="Times New Roman" w:cs="Times New Roman"/>
        </w:rPr>
        <w:t xml:space="preserve"> </w:t>
      </w:r>
      <w:sdt>
        <w:sdtPr>
          <w:rPr>
            <w:rFonts w:ascii="Times New Roman" w:hAnsi="Times New Roman" w:cs="Times New Roman"/>
          </w:rPr>
          <w:id w:val="-1374993761"/>
          <w:citation/>
        </w:sdtPr>
        <w:sdtContent>
          <w:r w:rsidR="000338B4">
            <w:rPr>
              <w:rFonts w:ascii="Times New Roman" w:hAnsi="Times New Roman" w:cs="Times New Roman"/>
            </w:rPr>
            <w:fldChar w:fldCharType="begin"/>
          </w:r>
          <w:r w:rsidR="000338B4" w:rsidRPr="000338B4">
            <w:rPr>
              <w:rFonts w:ascii="Times New Roman" w:hAnsi="Times New Roman" w:cs="Times New Roman"/>
            </w:rPr>
            <w:instrText xml:space="preserve"> CITATION Pai21 \l 1031 </w:instrText>
          </w:r>
          <w:r w:rsidR="000338B4">
            <w:rPr>
              <w:rFonts w:ascii="Times New Roman" w:hAnsi="Times New Roman" w:cs="Times New Roman"/>
            </w:rPr>
            <w:fldChar w:fldCharType="separate"/>
          </w:r>
          <w:r w:rsidR="003412B7" w:rsidRPr="003412B7">
            <w:rPr>
              <w:rFonts w:ascii="Times New Roman" w:hAnsi="Times New Roman" w:cs="Times New Roman"/>
              <w:noProof/>
            </w:rPr>
            <w:t>(Paiho, et al., 2021)</w:t>
          </w:r>
          <w:r w:rsidR="000338B4">
            <w:rPr>
              <w:rFonts w:ascii="Times New Roman" w:hAnsi="Times New Roman" w:cs="Times New Roman"/>
            </w:rPr>
            <w:fldChar w:fldCharType="end"/>
          </w:r>
        </w:sdtContent>
      </w:sdt>
      <w:r w:rsidR="002E09F9" w:rsidRPr="00EF7291">
        <w:rPr>
          <w:rFonts w:ascii="Times New Roman" w:hAnsi="Times New Roman" w:cs="Times New Roman"/>
        </w:rPr>
        <w:t>.</w:t>
      </w:r>
      <w:r w:rsidR="00F87AAD" w:rsidRPr="00EF7291">
        <w:rPr>
          <w:rFonts w:ascii="Times New Roman" w:hAnsi="Times New Roman" w:cs="Times New Roman"/>
        </w:rPr>
        <w:t xml:space="preserve"> Encouraging an active citizens participation</w:t>
      </w:r>
      <w:r w:rsidR="008624A9">
        <w:rPr>
          <w:rFonts w:ascii="Times New Roman" w:hAnsi="Times New Roman" w:cs="Times New Roman"/>
        </w:rPr>
        <w:t xml:space="preserve"> </w:t>
      </w:r>
      <w:r w:rsidR="00F87AAD" w:rsidRPr="00EF7291">
        <w:rPr>
          <w:rFonts w:ascii="Times New Roman" w:hAnsi="Times New Roman" w:cs="Times New Roman"/>
        </w:rPr>
        <w:t>to</w:t>
      </w:r>
      <w:r w:rsidR="002E09F9" w:rsidRPr="00EF7291">
        <w:rPr>
          <w:rFonts w:ascii="Times New Roman" w:hAnsi="Times New Roman" w:cs="Times New Roman"/>
        </w:rPr>
        <w:t xml:space="preserve"> modify consumption/generation patterns</w:t>
      </w:r>
      <w:r w:rsidR="00F87AAD" w:rsidRPr="00EF7291">
        <w:rPr>
          <w:rFonts w:ascii="Times New Roman" w:hAnsi="Times New Roman" w:cs="Times New Roman"/>
        </w:rPr>
        <w:t xml:space="preserve"> plays a crucial role</w:t>
      </w:r>
      <w:r w:rsidR="00485334">
        <w:rPr>
          <w:rFonts w:ascii="Times New Roman" w:hAnsi="Times New Roman" w:cs="Times New Roman"/>
        </w:rPr>
        <w:t xml:space="preserve"> </w:t>
      </w:r>
      <w:sdt>
        <w:sdtPr>
          <w:rPr>
            <w:rFonts w:ascii="Times New Roman" w:hAnsi="Times New Roman" w:cs="Times New Roman"/>
          </w:rPr>
          <w:id w:val="-1229996080"/>
          <w:citation/>
        </w:sdtPr>
        <w:sdtContent>
          <w:r w:rsidR="00485334">
            <w:rPr>
              <w:rFonts w:ascii="Times New Roman" w:hAnsi="Times New Roman" w:cs="Times New Roman"/>
            </w:rPr>
            <w:fldChar w:fldCharType="begin"/>
          </w:r>
          <w:r w:rsidR="00485334" w:rsidRPr="00485334">
            <w:rPr>
              <w:rFonts w:ascii="Times New Roman" w:hAnsi="Times New Roman" w:cs="Times New Roman"/>
            </w:rPr>
            <w:instrText xml:space="preserve"> CITATION Ham22 \l 1031 </w:instrText>
          </w:r>
          <w:r w:rsidR="00485334">
            <w:rPr>
              <w:rFonts w:ascii="Times New Roman" w:hAnsi="Times New Roman" w:cs="Times New Roman"/>
            </w:rPr>
            <w:fldChar w:fldCharType="separate"/>
          </w:r>
          <w:r w:rsidR="003412B7" w:rsidRPr="003412B7">
            <w:rPr>
              <w:rFonts w:ascii="Times New Roman" w:hAnsi="Times New Roman" w:cs="Times New Roman"/>
              <w:noProof/>
            </w:rPr>
            <w:t>(Hampton, Foley, Del Rio, &amp; Sovacool, 2022)</w:t>
          </w:r>
          <w:r w:rsidR="00485334">
            <w:rPr>
              <w:rFonts w:ascii="Times New Roman" w:hAnsi="Times New Roman" w:cs="Times New Roman"/>
            </w:rPr>
            <w:fldChar w:fldCharType="end"/>
          </w:r>
        </w:sdtContent>
      </w:sdt>
      <w:r w:rsidR="008624A9">
        <w:rPr>
          <w:rFonts w:ascii="Times New Roman" w:hAnsi="Times New Roman" w:cs="Times New Roman"/>
        </w:rPr>
        <w:t>,</w:t>
      </w:r>
      <w:r w:rsidR="00485334">
        <w:rPr>
          <w:rFonts w:ascii="Times New Roman" w:hAnsi="Times New Roman" w:cs="Times New Roman"/>
        </w:rPr>
        <w:t xml:space="preserve"> </w:t>
      </w:r>
      <w:r w:rsidR="00F87AAD" w:rsidRPr="00EF7291">
        <w:rPr>
          <w:rFonts w:ascii="Times New Roman" w:hAnsi="Times New Roman" w:cs="Times New Roman"/>
        </w:rPr>
        <w:t>but requires attention in the schedules planning phase</w:t>
      </w:r>
      <w:r w:rsidR="00485334">
        <w:rPr>
          <w:rFonts w:ascii="Times New Roman" w:hAnsi="Times New Roman" w:cs="Times New Roman"/>
        </w:rPr>
        <w:t xml:space="preserve">. </w:t>
      </w:r>
      <w:r w:rsidR="00F87AAD" w:rsidRPr="00EF7291">
        <w:rPr>
          <w:rFonts w:ascii="Times New Roman" w:hAnsi="Times New Roman" w:cs="Times New Roman"/>
        </w:rPr>
        <w:t>The analysis of such problematics and the proposal of new frameworks are therefore of primary importan</w:t>
      </w:r>
      <w:r w:rsidR="008624A9">
        <w:rPr>
          <w:rFonts w:ascii="Times New Roman" w:hAnsi="Times New Roman" w:cs="Times New Roman"/>
        </w:rPr>
        <w:t>ce</w:t>
      </w:r>
      <w:r w:rsidR="00F87AAD" w:rsidRPr="00EF7291">
        <w:rPr>
          <w:rFonts w:ascii="Times New Roman" w:hAnsi="Times New Roman" w:cs="Times New Roman"/>
        </w:rPr>
        <w:t xml:space="preserve"> to, first, unlock </w:t>
      </w:r>
      <w:r w:rsidR="008624A9">
        <w:rPr>
          <w:rFonts w:ascii="Times New Roman" w:hAnsi="Times New Roman" w:cs="Times New Roman"/>
        </w:rPr>
        <w:t xml:space="preserve">flexibility </w:t>
      </w:r>
      <w:r w:rsidR="00F87AAD" w:rsidRPr="00EF7291">
        <w:rPr>
          <w:rFonts w:ascii="Times New Roman" w:hAnsi="Times New Roman" w:cs="Times New Roman"/>
        </w:rPr>
        <w:t xml:space="preserve">potential from each individual energy community, </w:t>
      </w:r>
      <w:r w:rsidR="00A328B0" w:rsidRPr="00EF7291">
        <w:rPr>
          <w:rFonts w:ascii="Times New Roman" w:hAnsi="Times New Roman" w:cs="Times New Roman"/>
        </w:rPr>
        <w:t>and</w:t>
      </w:r>
      <w:r w:rsidR="00F87AAD" w:rsidRPr="00EF7291">
        <w:rPr>
          <w:rFonts w:ascii="Times New Roman" w:hAnsi="Times New Roman" w:cs="Times New Roman"/>
        </w:rPr>
        <w:t xml:space="preserve"> second, </w:t>
      </w:r>
      <w:r w:rsidR="008624A9">
        <w:rPr>
          <w:rFonts w:ascii="Times New Roman" w:hAnsi="Times New Roman" w:cs="Times New Roman"/>
        </w:rPr>
        <w:t>foster their</w:t>
      </w:r>
      <w:r w:rsidR="00F87AAD" w:rsidRPr="00EF7291">
        <w:rPr>
          <w:rFonts w:ascii="Times New Roman" w:hAnsi="Times New Roman" w:cs="Times New Roman"/>
        </w:rPr>
        <w:t xml:space="preserve"> cooperation at a </w:t>
      </w:r>
      <w:proofErr w:type="gramStart"/>
      <w:r w:rsidR="00F87AAD" w:rsidRPr="00EF7291">
        <w:rPr>
          <w:rFonts w:ascii="Times New Roman" w:hAnsi="Times New Roman" w:cs="Times New Roman"/>
        </w:rPr>
        <w:t xml:space="preserve">higher </w:t>
      </w:r>
      <w:r w:rsidR="008624A9">
        <w:rPr>
          <w:rFonts w:ascii="Times New Roman" w:hAnsi="Times New Roman" w:cs="Times New Roman"/>
        </w:rPr>
        <w:t xml:space="preserve"> regional</w:t>
      </w:r>
      <w:proofErr w:type="gramEnd"/>
      <w:r w:rsidR="008624A9">
        <w:rPr>
          <w:rFonts w:ascii="Times New Roman" w:hAnsi="Times New Roman" w:cs="Times New Roman"/>
        </w:rPr>
        <w:t xml:space="preserve"> or national </w:t>
      </w:r>
      <w:r w:rsidR="00F87AAD" w:rsidRPr="00EF7291">
        <w:rPr>
          <w:rFonts w:ascii="Times New Roman" w:hAnsi="Times New Roman" w:cs="Times New Roman"/>
        </w:rPr>
        <w:t>level.</w:t>
      </w:r>
      <w:r w:rsidR="00A328B0" w:rsidRPr="00EF7291">
        <w:rPr>
          <w:rFonts w:ascii="Times New Roman" w:hAnsi="Times New Roman" w:cs="Times New Roman"/>
        </w:rPr>
        <w:t xml:space="preserve"> In this perspective, energy communities could be organized following a </w:t>
      </w:r>
      <w:r w:rsidR="00A328B0" w:rsidRPr="00EF7291">
        <w:rPr>
          <w:rFonts w:ascii="Times New Roman" w:hAnsi="Times New Roman" w:cs="Times New Roman"/>
          <w:i/>
          <w:iCs/>
        </w:rPr>
        <w:t>cellular</w:t>
      </w:r>
      <w:r w:rsidR="00A328B0" w:rsidRPr="00EF7291">
        <w:rPr>
          <w:rFonts w:ascii="Times New Roman" w:hAnsi="Times New Roman" w:cs="Times New Roman"/>
        </w:rPr>
        <w:t xml:space="preserve"> structure, where each </w:t>
      </w:r>
      <w:r w:rsidR="00A328B0" w:rsidRPr="00EF7291">
        <w:rPr>
          <w:rFonts w:ascii="Times New Roman" w:hAnsi="Times New Roman" w:cs="Times New Roman"/>
          <w:i/>
          <w:iCs/>
        </w:rPr>
        <w:t>cell</w:t>
      </w:r>
      <w:r w:rsidR="00A328B0" w:rsidRPr="00EF7291">
        <w:rPr>
          <w:rFonts w:ascii="Times New Roman" w:hAnsi="Times New Roman" w:cs="Times New Roman"/>
        </w:rPr>
        <w:t xml:space="preserve"> (in the form an energy community) is interconnected</w:t>
      </w:r>
      <w:r w:rsidR="006D70D0" w:rsidRPr="00EF7291">
        <w:rPr>
          <w:rFonts w:ascii="Times New Roman" w:hAnsi="Times New Roman" w:cs="Times New Roman"/>
        </w:rPr>
        <w:t xml:space="preserve"> physically</w:t>
      </w:r>
      <w:r w:rsidR="008624A9">
        <w:rPr>
          <w:rFonts w:ascii="Times New Roman" w:hAnsi="Times New Roman" w:cs="Times New Roman"/>
        </w:rPr>
        <w:t xml:space="preserve"> (grids)</w:t>
      </w:r>
      <w:r w:rsidR="006D70D0" w:rsidRPr="00EF7291">
        <w:rPr>
          <w:rFonts w:ascii="Times New Roman" w:hAnsi="Times New Roman" w:cs="Times New Roman"/>
        </w:rPr>
        <w:t>, and virtually</w:t>
      </w:r>
      <w:r w:rsidR="008624A9">
        <w:rPr>
          <w:rFonts w:ascii="Times New Roman" w:hAnsi="Times New Roman" w:cs="Times New Roman"/>
        </w:rPr>
        <w:t xml:space="preserve"> (platforms)</w:t>
      </w:r>
      <w:r w:rsidR="000338B4">
        <w:rPr>
          <w:rFonts w:ascii="Times New Roman" w:hAnsi="Times New Roman" w:cs="Times New Roman"/>
        </w:rPr>
        <w:t xml:space="preserve"> </w:t>
      </w:r>
      <w:sdt>
        <w:sdtPr>
          <w:rPr>
            <w:rFonts w:ascii="Times New Roman" w:hAnsi="Times New Roman" w:cs="Times New Roman"/>
          </w:rPr>
          <w:id w:val="175784226"/>
          <w:citation/>
        </w:sdtPr>
        <w:sdtContent>
          <w:r w:rsidR="000338B4">
            <w:rPr>
              <w:rFonts w:ascii="Times New Roman" w:hAnsi="Times New Roman" w:cs="Times New Roman"/>
            </w:rPr>
            <w:fldChar w:fldCharType="begin"/>
          </w:r>
          <w:r w:rsidR="00BE331C">
            <w:rPr>
              <w:rFonts w:ascii="Times New Roman" w:hAnsi="Times New Roman" w:cs="Times New Roman"/>
            </w:rPr>
            <w:instrText xml:space="preserve">CITATION Fle19 \l 1031 </w:instrText>
          </w:r>
          <w:r w:rsidR="000338B4">
            <w:rPr>
              <w:rFonts w:ascii="Times New Roman" w:hAnsi="Times New Roman" w:cs="Times New Roman"/>
            </w:rPr>
            <w:fldChar w:fldCharType="separate"/>
          </w:r>
          <w:r w:rsidR="003412B7" w:rsidRPr="003412B7">
            <w:rPr>
              <w:rFonts w:ascii="Times New Roman" w:hAnsi="Times New Roman" w:cs="Times New Roman"/>
              <w:noProof/>
            </w:rPr>
            <w:t>(Lehmann, Huber, &amp; Kießling, 2019)</w:t>
          </w:r>
          <w:r w:rsidR="000338B4">
            <w:rPr>
              <w:rFonts w:ascii="Times New Roman" w:hAnsi="Times New Roman" w:cs="Times New Roman"/>
            </w:rPr>
            <w:fldChar w:fldCharType="end"/>
          </w:r>
        </w:sdtContent>
      </w:sdt>
      <w:r w:rsidR="00A328B0" w:rsidRPr="00EF7291">
        <w:rPr>
          <w:rFonts w:ascii="Times New Roman" w:hAnsi="Times New Roman" w:cs="Times New Roman"/>
        </w:rPr>
        <w:t xml:space="preserve">. </w:t>
      </w:r>
    </w:p>
    <w:p w14:paraId="67BA2030" w14:textId="009233BA" w:rsidR="006D70D0" w:rsidRPr="00EF7291" w:rsidRDefault="00B37E66" w:rsidP="00F629D2">
      <w:pPr>
        <w:jc w:val="both"/>
        <w:rPr>
          <w:rFonts w:ascii="Times New Roman" w:hAnsi="Times New Roman" w:cs="Times New Roman"/>
        </w:rPr>
      </w:pPr>
      <w:r w:rsidRPr="00EF7291">
        <w:rPr>
          <w:rFonts w:ascii="Times New Roman" w:hAnsi="Times New Roman" w:cs="Times New Roman"/>
        </w:rPr>
        <w:t xml:space="preserve">To </w:t>
      </w:r>
      <w:r w:rsidR="006D70D0" w:rsidRPr="00EF7291">
        <w:rPr>
          <w:rFonts w:ascii="Times New Roman" w:hAnsi="Times New Roman" w:cs="Times New Roman"/>
        </w:rPr>
        <w:t xml:space="preserve">fill </w:t>
      </w:r>
      <w:r w:rsidRPr="00EF7291">
        <w:rPr>
          <w:rFonts w:ascii="Times New Roman" w:hAnsi="Times New Roman" w:cs="Times New Roman"/>
        </w:rPr>
        <w:t xml:space="preserve">this gap, in this </w:t>
      </w:r>
      <w:r w:rsidR="006D70D0" w:rsidRPr="00EF7291">
        <w:rPr>
          <w:rFonts w:ascii="Times New Roman" w:hAnsi="Times New Roman" w:cs="Times New Roman"/>
        </w:rPr>
        <w:t>work</w:t>
      </w:r>
      <w:r w:rsidRPr="00EF7291">
        <w:rPr>
          <w:rFonts w:ascii="Times New Roman" w:hAnsi="Times New Roman" w:cs="Times New Roman"/>
        </w:rPr>
        <w:t xml:space="preserve"> different </w:t>
      </w:r>
      <w:r w:rsidR="006D70D0" w:rsidRPr="00EF7291">
        <w:rPr>
          <w:rFonts w:ascii="Times New Roman" w:hAnsi="Times New Roman" w:cs="Times New Roman"/>
        </w:rPr>
        <w:t>options</w:t>
      </w:r>
      <w:r w:rsidRPr="00EF7291">
        <w:rPr>
          <w:rFonts w:ascii="Times New Roman" w:hAnsi="Times New Roman" w:cs="Times New Roman"/>
        </w:rPr>
        <w:t xml:space="preserve"> </w:t>
      </w:r>
      <w:r w:rsidR="006D70D0" w:rsidRPr="00EF7291">
        <w:rPr>
          <w:rFonts w:ascii="Times New Roman" w:hAnsi="Times New Roman" w:cs="Times New Roman"/>
        </w:rPr>
        <w:t xml:space="preserve">concerning </w:t>
      </w:r>
      <w:r w:rsidRPr="00EF7291">
        <w:rPr>
          <w:rFonts w:ascii="Times New Roman" w:hAnsi="Times New Roman" w:cs="Times New Roman"/>
        </w:rPr>
        <w:t xml:space="preserve">energy </w:t>
      </w:r>
      <w:r w:rsidR="007A01DD" w:rsidRPr="00EF7291">
        <w:rPr>
          <w:rFonts w:ascii="Times New Roman" w:hAnsi="Times New Roman" w:cs="Times New Roman"/>
        </w:rPr>
        <w:t>communities’</w:t>
      </w:r>
      <w:r w:rsidRPr="00EF7291">
        <w:rPr>
          <w:rFonts w:ascii="Times New Roman" w:hAnsi="Times New Roman" w:cs="Times New Roman"/>
        </w:rPr>
        <w:t xml:space="preserve"> integration in electricity markets are proposed, and potential barriers and opportunities discussed. </w:t>
      </w:r>
      <w:r w:rsidR="00DC07D8" w:rsidRPr="00EF7291">
        <w:rPr>
          <w:rFonts w:ascii="Times New Roman" w:hAnsi="Times New Roman" w:cs="Times New Roman"/>
        </w:rPr>
        <w:t>Market opportunities</w:t>
      </w:r>
      <w:r w:rsidRPr="00EF7291">
        <w:rPr>
          <w:rFonts w:ascii="Times New Roman" w:hAnsi="Times New Roman" w:cs="Times New Roman"/>
        </w:rPr>
        <w:t xml:space="preserve"> have been </w:t>
      </w:r>
      <w:r w:rsidR="00DC07D8" w:rsidRPr="00EF7291">
        <w:rPr>
          <w:rFonts w:ascii="Times New Roman" w:hAnsi="Times New Roman" w:cs="Times New Roman"/>
        </w:rPr>
        <w:t>identified</w:t>
      </w:r>
      <w:r w:rsidRPr="00EF7291">
        <w:rPr>
          <w:rFonts w:ascii="Times New Roman" w:hAnsi="Times New Roman" w:cs="Times New Roman"/>
        </w:rPr>
        <w:t xml:space="preserve"> </w:t>
      </w:r>
      <w:r w:rsidR="006D70D0" w:rsidRPr="00EF7291">
        <w:rPr>
          <w:rFonts w:ascii="Times New Roman" w:hAnsi="Times New Roman" w:cs="Times New Roman"/>
        </w:rPr>
        <w:t>using</w:t>
      </w:r>
      <w:r w:rsidRPr="00EF7291">
        <w:rPr>
          <w:rFonts w:ascii="Times New Roman" w:hAnsi="Times New Roman" w:cs="Times New Roman"/>
        </w:rPr>
        <w:t xml:space="preserve"> </w:t>
      </w:r>
      <w:r w:rsidR="005955A9" w:rsidRPr="00EF7291">
        <w:rPr>
          <w:rFonts w:ascii="Times New Roman" w:hAnsi="Times New Roman" w:cs="Times New Roman"/>
        </w:rPr>
        <w:t>as reference the</w:t>
      </w:r>
      <w:r w:rsidR="00006A23">
        <w:rPr>
          <w:rFonts w:ascii="Times New Roman" w:hAnsi="Times New Roman" w:cs="Times New Roman"/>
        </w:rPr>
        <w:t xml:space="preserve"> </w:t>
      </w:r>
      <w:r w:rsidR="00006A23" w:rsidRPr="00EF7291">
        <w:rPr>
          <w:rFonts w:ascii="Times New Roman" w:hAnsi="Times New Roman" w:cs="Times New Roman"/>
        </w:rPr>
        <w:t>most promising and consolidated energy markets</w:t>
      </w:r>
      <w:r w:rsidR="00006A23">
        <w:rPr>
          <w:rFonts w:ascii="Times New Roman" w:hAnsi="Times New Roman" w:cs="Times New Roman"/>
        </w:rPr>
        <w:t xml:space="preserve"> (</w:t>
      </w:r>
      <w:r w:rsidR="00006A23" w:rsidRPr="00EF7291">
        <w:rPr>
          <w:rFonts w:ascii="Times New Roman" w:hAnsi="Times New Roman" w:cs="Times New Roman"/>
        </w:rPr>
        <w:t>day-ahead, intraday,</w:t>
      </w:r>
      <w:r w:rsidR="00006A23">
        <w:rPr>
          <w:rFonts w:ascii="Times New Roman" w:hAnsi="Times New Roman" w:cs="Times New Roman"/>
        </w:rPr>
        <w:t xml:space="preserve"> </w:t>
      </w:r>
      <w:r w:rsidR="00006A23" w:rsidRPr="00EF7291">
        <w:rPr>
          <w:rFonts w:ascii="Times New Roman" w:hAnsi="Times New Roman" w:cs="Times New Roman"/>
        </w:rPr>
        <w:t>balancing</w:t>
      </w:r>
      <w:r w:rsidR="00006A23">
        <w:rPr>
          <w:rFonts w:ascii="Times New Roman" w:hAnsi="Times New Roman" w:cs="Times New Roman"/>
        </w:rPr>
        <w:t xml:space="preserve">) in the current </w:t>
      </w:r>
      <w:r w:rsidR="005955A9" w:rsidRPr="00EF7291">
        <w:rPr>
          <w:rFonts w:ascii="Times New Roman" w:hAnsi="Times New Roman" w:cs="Times New Roman"/>
        </w:rPr>
        <w:t xml:space="preserve">Austrian </w:t>
      </w:r>
      <w:r w:rsidR="00006A23">
        <w:rPr>
          <w:rFonts w:ascii="Times New Roman" w:hAnsi="Times New Roman" w:cs="Times New Roman"/>
        </w:rPr>
        <w:t xml:space="preserve">framework. </w:t>
      </w:r>
      <w:r w:rsidR="009D4FE8" w:rsidRPr="00EF7291">
        <w:rPr>
          <w:rFonts w:ascii="Times New Roman" w:hAnsi="Times New Roman" w:cs="Times New Roman"/>
        </w:rPr>
        <w:t>Although future o</w:t>
      </w:r>
      <w:r w:rsidR="00DC07D8" w:rsidRPr="00EF7291">
        <w:rPr>
          <w:rFonts w:ascii="Times New Roman" w:hAnsi="Times New Roman" w:cs="Times New Roman"/>
        </w:rPr>
        <w:t>pportunities</w:t>
      </w:r>
      <w:r w:rsidR="009D4FE8" w:rsidRPr="00EF7291">
        <w:rPr>
          <w:rFonts w:ascii="Times New Roman" w:hAnsi="Times New Roman" w:cs="Times New Roman"/>
        </w:rPr>
        <w:t xml:space="preserve"> could</w:t>
      </w:r>
      <w:r w:rsidR="00DC07D8" w:rsidRPr="00EF7291">
        <w:rPr>
          <w:rFonts w:ascii="Times New Roman" w:hAnsi="Times New Roman" w:cs="Times New Roman"/>
        </w:rPr>
        <w:t xml:space="preserve"> </w:t>
      </w:r>
      <w:r w:rsidR="009D4FE8" w:rsidRPr="00EF7291">
        <w:rPr>
          <w:rFonts w:ascii="Times New Roman" w:hAnsi="Times New Roman" w:cs="Times New Roman"/>
        </w:rPr>
        <w:t>come</w:t>
      </w:r>
      <w:r w:rsidR="00DC07D8" w:rsidRPr="00EF7291">
        <w:rPr>
          <w:rFonts w:ascii="Times New Roman" w:hAnsi="Times New Roman" w:cs="Times New Roman"/>
        </w:rPr>
        <w:t xml:space="preserve"> from the implementation of markets more at the local level, such as local energy markets, peer-to-peer trading, and local flexibility markets</w:t>
      </w:r>
      <w:r w:rsidR="009D4FE8" w:rsidRPr="00EF7291">
        <w:rPr>
          <w:rFonts w:ascii="Times New Roman" w:hAnsi="Times New Roman" w:cs="Times New Roman"/>
        </w:rPr>
        <w:t>, such options</w:t>
      </w:r>
      <w:r w:rsidR="00DC07D8" w:rsidRPr="00EF7291">
        <w:rPr>
          <w:rFonts w:ascii="Times New Roman" w:hAnsi="Times New Roman" w:cs="Times New Roman"/>
        </w:rPr>
        <w:t xml:space="preserve"> are not considered due to their current lack of practical implementation</w:t>
      </w:r>
      <w:r w:rsidR="004C1C64">
        <w:rPr>
          <w:rFonts w:ascii="Times New Roman" w:hAnsi="Times New Roman" w:cs="Times New Roman"/>
        </w:rPr>
        <w:t xml:space="preserve"> </w:t>
      </w:r>
      <w:sdt>
        <w:sdtPr>
          <w:rPr>
            <w:rFonts w:ascii="Times New Roman" w:hAnsi="Times New Roman" w:cs="Times New Roman"/>
          </w:rPr>
          <w:id w:val="-230926064"/>
          <w:citation/>
        </w:sdtPr>
        <w:sdtContent>
          <w:r w:rsidR="004C1C64">
            <w:rPr>
              <w:rFonts w:ascii="Times New Roman" w:hAnsi="Times New Roman" w:cs="Times New Roman"/>
            </w:rPr>
            <w:fldChar w:fldCharType="begin"/>
          </w:r>
          <w:r w:rsidR="004C1C64" w:rsidRPr="004C1C64">
            <w:rPr>
              <w:rFonts w:ascii="Times New Roman" w:hAnsi="Times New Roman" w:cs="Times New Roman"/>
            </w:rPr>
            <w:instrText xml:space="preserve"> CITATION Cap22 \l 1031 </w:instrText>
          </w:r>
          <w:r w:rsidR="004C1C64">
            <w:rPr>
              <w:rFonts w:ascii="Times New Roman" w:hAnsi="Times New Roman" w:cs="Times New Roman"/>
            </w:rPr>
            <w:fldChar w:fldCharType="separate"/>
          </w:r>
          <w:r w:rsidR="003412B7" w:rsidRPr="003412B7">
            <w:rPr>
              <w:rFonts w:ascii="Times New Roman" w:hAnsi="Times New Roman" w:cs="Times New Roman"/>
              <w:noProof/>
            </w:rPr>
            <w:t>(Capper, et al., 2022)</w:t>
          </w:r>
          <w:r w:rsidR="004C1C64">
            <w:rPr>
              <w:rFonts w:ascii="Times New Roman" w:hAnsi="Times New Roman" w:cs="Times New Roman"/>
            </w:rPr>
            <w:fldChar w:fldCharType="end"/>
          </w:r>
        </w:sdtContent>
      </w:sdt>
      <w:r w:rsidR="004C1C64">
        <w:rPr>
          <w:rFonts w:ascii="Times New Roman" w:hAnsi="Times New Roman" w:cs="Times New Roman"/>
        </w:rPr>
        <w:t xml:space="preserve">. </w:t>
      </w:r>
      <w:r w:rsidR="009D4FE8" w:rsidRPr="00EF7291">
        <w:rPr>
          <w:rFonts w:ascii="Times New Roman" w:hAnsi="Times New Roman" w:cs="Times New Roman"/>
        </w:rPr>
        <w:t>However, lessons learnt could be transferred to any tasks concerning market design frameworks considering current or future trends.</w:t>
      </w:r>
      <w:r w:rsidR="00006A23">
        <w:rPr>
          <w:rFonts w:ascii="Times New Roman" w:hAnsi="Times New Roman" w:cs="Times New Roman"/>
        </w:rPr>
        <w:t xml:space="preserve"> </w:t>
      </w:r>
      <w:r w:rsidR="00C062A2" w:rsidRPr="00EF7291">
        <w:rPr>
          <w:rFonts w:ascii="Times New Roman" w:hAnsi="Times New Roman" w:cs="Times New Roman"/>
        </w:rPr>
        <w:t>Both</w:t>
      </w:r>
      <w:r w:rsidRPr="00EF7291">
        <w:rPr>
          <w:rFonts w:ascii="Times New Roman" w:hAnsi="Times New Roman" w:cs="Times New Roman"/>
        </w:rPr>
        <w:t xml:space="preserve"> indirect</w:t>
      </w:r>
      <w:r w:rsidR="00F32A48">
        <w:rPr>
          <w:rFonts w:ascii="Times New Roman" w:hAnsi="Times New Roman" w:cs="Times New Roman"/>
        </w:rPr>
        <w:t xml:space="preserve"> (customers’ reaction to input prices)</w:t>
      </w:r>
      <w:r w:rsidRPr="00EF7291">
        <w:rPr>
          <w:rFonts w:ascii="Times New Roman" w:hAnsi="Times New Roman" w:cs="Times New Roman"/>
        </w:rPr>
        <w:t xml:space="preserve"> </w:t>
      </w:r>
      <w:r w:rsidR="00DC07D8" w:rsidRPr="00EF7291">
        <w:rPr>
          <w:rFonts w:ascii="Times New Roman" w:hAnsi="Times New Roman" w:cs="Times New Roman"/>
        </w:rPr>
        <w:t>and</w:t>
      </w:r>
      <w:r w:rsidRPr="00EF7291">
        <w:rPr>
          <w:rFonts w:ascii="Times New Roman" w:hAnsi="Times New Roman" w:cs="Times New Roman"/>
        </w:rPr>
        <w:t xml:space="preserve"> direct </w:t>
      </w:r>
      <w:r w:rsidR="00F32A48">
        <w:rPr>
          <w:rFonts w:ascii="Times New Roman" w:hAnsi="Times New Roman" w:cs="Times New Roman"/>
        </w:rPr>
        <w:t xml:space="preserve">(central control from an aggregator) </w:t>
      </w:r>
      <w:r w:rsidR="0020440C" w:rsidRPr="00EF7291">
        <w:rPr>
          <w:rFonts w:ascii="Times New Roman" w:hAnsi="Times New Roman" w:cs="Times New Roman"/>
        </w:rPr>
        <w:t>schemes concerning</w:t>
      </w:r>
      <w:r w:rsidR="00C062A2" w:rsidRPr="00EF7291">
        <w:rPr>
          <w:rFonts w:ascii="Times New Roman" w:hAnsi="Times New Roman" w:cs="Times New Roman"/>
        </w:rPr>
        <w:t xml:space="preserve"> </w:t>
      </w:r>
      <w:r w:rsidR="0020440C" w:rsidRPr="00EF7291">
        <w:rPr>
          <w:rFonts w:ascii="Times New Roman" w:hAnsi="Times New Roman" w:cs="Times New Roman"/>
        </w:rPr>
        <w:t>energy community’s members market participation</w:t>
      </w:r>
      <w:r w:rsidR="00C062A2" w:rsidRPr="00EF7291">
        <w:rPr>
          <w:rFonts w:ascii="Times New Roman" w:hAnsi="Times New Roman" w:cs="Times New Roman"/>
        </w:rPr>
        <w:t xml:space="preserve"> are </w:t>
      </w:r>
      <w:r w:rsidR="0020440C" w:rsidRPr="00EF7291">
        <w:rPr>
          <w:rFonts w:ascii="Times New Roman" w:hAnsi="Times New Roman" w:cs="Times New Roman"/>
        </w:rPr>
        <w:t xml:space="preserve">investigated. </w:t>
      </w:r>
      <w:r w:rsidR="00D83388" w:rsidRPr="00EF7291">
        <w:rPr>
          <w:rFonts w:ascii="Times New Roman" w:hAnsi="Times New Roman" w:cs="Times New Roman"/>
        </w:rPr>
        <w:t>Strategies to gather units’ control over limited time slots</w:t>
      </w:r>
      <w:r w:rsidR="00FA31EE" w:rsidRPr="00EF7291">
        <w:rPr>
          <w:rFonts w:ascii="Times New Roman" w:hAnsi="Times New Roman" w:cs="Times New Roman"/>
        </w:rPr>
        <w:t xml:space="preserve"> over continuous control</w:t>
      </w:r>
      <w:r w:rsidR="00D83388" w:rsidRPr="00EF7291">
        <w:rPr>
          <w:rFonts w:ascii="Times New Roman" w:hAnsi="Times New Roman" w:cs="Times New Roman"/>
        </w:rPr>
        <w:t xml:space="preserve"> </w:t>
      </w:r>
      <w:r w:rsidR="0020440C" w:rsidRPr="00EF7291">
        <w:rPr>
          <w:rFonts w:ascii="Times New Roman" w:hAnsi="Times New Roman" w:cs="Times New Roman"/>
        </w:rPr>
        <w:t>are considered</w:t>
      </w:r>
      <w:r w:rsidR="00D83388" w:rsidRPr="00EF7291">
        <w:rPr>
          <w:rFonts w:ascii="Times New Roman" w:hAnsi="Times New Roman" w:cs="Times New Roman"/>
        </w:rPr>
        <w:t xml:space="preserve"> </w:t>
      </w:r>
      <w:r w:rsidR="0020440C" w:rsidRPr="00EF7291">
        <w:rPr>
          <w:rFonts w:ascii="Times New Roman" w:hAnsi="Times New Roman" w:cs="Times New Roman"/>
        </w:rPr>
        <w:t xml:space="preserve">more </w:t>
      </w:r>
      <w:r w:rsidR="00FA31EE" w:rsidRPr="00EF7291">
        <w:rPr>
          <w:rFonts w:ascii="Times New Roman" w:hAnsi="Times New Roman" w:cs="Times New Roman"/>
        </w:rPr>
        <w:t>attractive</w:t>
      </w:r>
      <w:r w:rsidR="0020440C" w:rsidRPr="00EF7291">
        <w:rPr>
          <w:rFonts w:ascii="Times New Roman" w:hAnsi="Times New Roman" w:cs="Times New Roman"/>
        </w:rPr>
        <w:t xml:space="preserve"> </w:t>
      </w:r>
      <w:r w:rsidR="00D83388" w:rsidRPr="00EF7291">
        <w:rPr>
          <w:rFonts w:ascii="Times New Roman" w:hAnsi="Times New Roman" w:cs="Times New Roman"/>
        </w:rPr>
        <w:t xml:space="preserve">in practice </w:t>
      </w:r>
      <w:r w:rsidR="0020440C" w:rsidRPr="00EF7291">
        <w:rPr>
          <w:rFonts w:ascii="Times New Roman" w:hAnsi="Times New Roman" w:cs="Times New Roman"/>
        </w:rPr>
        <w:t>to gather participants interests</w:t>
      </w:r>
      <w:r w:rsidR="00D83388" w:rsidRPr="00EF7291">
        <w:rPr>
          <w:rFonts w:ascii="Times New Roman" w:hAnsi="Times New Roman" w:cs="Times New Roman"/>
        </w:rPr>
        <w:t>,</w:t>
      </w:r>
      <w:r w:rsidR="0020440C" w:rsidRPr="00EF7291">
        <w:rPr>
          <w:rFonts w:ascii="Times New Roman" w:hAnsi="Times New Roman" w:cs="Times New Roman"/>
        </w:rPr>
        <w:t xml:space="preserve"> and</w:t>
      </w:r>
      <w:r w:rsidR="00D83388" w:rsidRPr="00EF7291">
        <w:rPr>
          <w:rFonts w:ascii="Times New Roman" w:hAnsi="Times New Roman" w:cs="Times New Roman"/>
        </w:rPr>
        <w:t xml:space="preserve"> later</w:t>
      </w:r>
      <w:r w:rsidR="0020440C" w:rsidRPr="00EF7291">
        <w:rPr>
          <w:rFonts w:ascii="Times New Roman" w:hAnsi="Times New Roman" w:cs="Times New Roman"/>
        </w:rPr>
        <w:t xml:space="preserve"> involve </w:t>
      </w:r>
      <w:r w:rsidR="00D83388" w:rsidRPr="00EF7291">
        <w:rPr>
          <w:rFonts w:ascii="Times New Roman" w:hAnsi="Times New Roman" w:cs="Times New Roman"/>
        </w:rPr>
        <w:t xml:space="preserve">them </w:t>
      </w:r>
      <w:r w:rsidR="00FA31EE" w:rsidRPr="00EF7291">
        <w:rPr>
          <w:rFonts w:ascii="Times New Roman" w:hAnsi="Times New Roman" w:cs="Times New Roman"/>
        </w:rPr>
        <w:t>within the</w:t>
      </w:r>
      <w:r w:rsidR="00D83388" w:rsidRPr="00EF7291">
        <w:rPr>
          <w:rFonts w:ascii="Times New Roman" w:hAnsi="Times New Roman" w:cs="Times New Roman"/>
        </w:rPr>
        <w:t xml:space="preserve"> plan</w:t>
      </w:r>
      <w:r w:rsidR="00FA31EE" w:rsidRPr="00EF7291">
        <w:rPr>
          <w:rFonts w:ascii="Times New Roman" w:hAnsi="Times New Roman" w:cs="Times New Roman"/>
        </w:rPr>
        <w:t>ning of</w:t>
      </w:r>
      <w:r w:rsidR="00D83388" w:rsidRPr="00EF7291">
        <w:rPr>
          <w:rFonts w:ascii="Times New Roman" w:hAnsi="Times New Roman" w:cs="Times New Roman"/>
        </w:rPr>
        <w:t xml:space="preserve"> short-term flexibility</w:t>
      </w:r>
      <w:r w:rsidR="0020440C" w:rsidRPr="00EF7291">
        <w:rPr>
          <w:rFonts w:ascii="Times New Roman" w:hAnsi="Times New Roman" w:cs="Times New Roman"/>
        </w:rPr>
        <w:t xml:space="preserve"> </w:t>
      </w:r>
      <w:r w:rsidR="00D83388" w:rsidRPr="00EF7291">
        <w:rPr>
          <w:rFonts w:ascii="Times New Roman" w:hAnsi="Times New Roman" w:cs="Times New Roman"/>
        </w:rPr>
        <w:t>provision.</w:t>
      </w:r>
      <w:r w:rsidR="00D86A98" w:rsidRPr="00EF7291">
        <w:rPr>
          <w:rFonts w:ascii="Times New Roman" w:hAnsi="Times New Roman" w:cs="Times New Roman"/>
        </w:rPr>
        <w:t xml:space="preserve"> </w:t>
      </w:r>
      <w:r w:rsidRPr="00EF7291">
        <w:rPr>
          <w:rFonts w:ascii="Times New Roman" w:hAnsi="Times New Roman" w:cs="Times New Roman"/>
        </w:rPr>
        <w:t>The</w:t>
      </w:r>
      <w:r w:rsidR="00D86A98" w:rsidRPr="00EF7291">
        <w:rPr>
          <w:rFonts w:ascii="Times New Roman" w:hAnsi="Times New Roman" w:cs="Times New Roman"/>
        </w:rPr>
        <w:t xml:space="preserve"> provided</w:t>
      </w:r>
      <w:r w:rsidRPr="00EF7291">
        <w:rPr>
          <w:rFonts w:ascii="Times New Roman" w:hAnsi="Times New Roman" w:cs="Times New Roman"/>
        </w:rPr>
        <w:t xml:space="preserve"> analyses are discussed </w:t>
      </w:r>
      <w:r w:rsidR="007A01DD" w:rsidRPr="00EF7291">
        <w:rPr>
          <w:rFonts w:ascii="Times New Roman" w:hAnsi="Times New Roman" w:cs="Times New Roman"/>
        </w:rPr>
        <w:t>considering</w:t>
      </w:r>
      <w:r w:rsidRPr="00EF7291">
        <w:rPr>
          <w:rFonts w:ascii="Times New Roman" w:hAnsi="Times New Roman" w:cs="Times New Roman"/>
        </w:rPr>
        <w:t xml:space="preserve"> interests, opportunities, and barriers of all the stakeholders involved. </w:t>
      </w:r>
    </w:p>
    <w:p w14:paraId="070A5CE3" w14:textId="33F448B8" w:rsidR="00B94193" w:rsidRPr="00EF7291" w:rsidRDefault="00B37E66" w:rsidP="00F629D2">
      <w:pPr>
        <w:jc w:val="both"/>
        <w:rPr>
          <w:rFonts w:ascii="Times New Roman" w:hAnsi="Times New Roman" w:cs="Times New Roman"/>
        </w:rPr>
      </w:pPr>
      <w:r w:rsidRPr="00EF7291">
        <w:rPr>
          <w:rFonts w:ascii="Times New Roman" w:hAnsi="Times New Roman" w:cs="Times New Roman"/>
        </w:rPr>
        <w:t>As a result, a potential towards market-friendly</w:t>
      </w:r>
      <w:r w:rsidR="007A01DD" w:rsidRPr="00EF7291">
        <w:rPr>
          <w:rFonts w:ascii="Times New Roman" w:hAnsi="Times New Roman" w:cs="Times New Roman"/>
        </w:rPr>
        <w:t xml:space="preserve"> </w:t>
      </w:r>
      <w:r w:rsidRPr="00EF7291">
        <w:rPr>
          <w:rFonts w:ascii="Times New Roman" w:hAnsi="Times New Roman" w:cs="Times New Roman"/>
        </w:rPr>
        <w:t xml:space="preserve">and grid-friendly behavior </w:t>
      </w:r>
      <w:r w:rsidR="00C27E20" w:rsidRPr="00EF7291">
        <w:rPr>
          <w:rFonts w:ascii="Times New Roman" w:hAnsi="Times New Roman" w:cs="Times New Roman"/>
        </w:rPr>
        <w:t>could</w:t>
      </w:r>
      <w:r w:rsidRPr="00EF7291">
        <w:rPr>
          <w:rFonts w:ascii="Times New Roman" w:hAnsi="Times New Roman" w:cs="Times New Roman"/>
        </w:rPr>
        <w:t xml:space="preserve"> be relatively easily unlocked through participants’ indirect reaction to price tariffs.</w:t>
      </w:r>
      <w:r w:rsidR="00B94193" w:rsidRPr="00EF7291">
        <w:rPr>
          <w:rFonts w:ascii="Times New Roman" w:hAnsi="Times New Roman" w:cs="Times New Roman"/>
        </w:rPr>
        <w:t xml:space="preserve"> Indirect participation in day-ahead market, through prices sent from suppliers to each customer </w:t>
      </w:r>
      <w:r w:rsidR="004C1C64" w:rsidRPr="00EF7291">
        <w:rPr>
          <w:rFonts w:ascii="Times New Roman" w:hAnsi="Times New Roman" w:cs="Times New Roman"/>
        </w:rPr>
        <w:t>daily</w:t>
      </w:r>
      <w:r w:rsidR="00B94193" w:rsidRPr="00EF7291">
        <w:rPr>
          <w:rFonts w:ascii="Times New Roman" w:hAnsi="Times New Roman" w:cs="Times New Roman"/>
        </w:rPr>
        <w:t xml:space="preserve">, is found to be relatively easy to implement according to current legislation. Similarly, grid-friendly behavior can be promoted if distribution grid operators are willing to send daily innovative grid charges to the participants, based on renewable sources forecasts. However, such options do not ensure a proper reaction from the participants, being the schedules </w:t>
      </w:r>
      <w:r w:rsidR="00B94193" w:rsidRPr="00EF7291">
        <w:rPr>
          <w:rFonts w:ascii="Times New Roman" w:hAnsi="Times New Roman" w:cs="Times New Roman"/>
        </w:rPr>
        <w:lastRenderedPageBreak/>
        <w:t>not communicated, thus it is still task of suppliers and grid operators to anticipate the participants’ behavior</w:t>
      </w:r>
      <w:r w:rsidR="003B298A" w:rsidRPr="00EF7291">
        <w:rPr>
          <w:rFonts w:ascii="Times New Roman" w:hAnsi="Times New Roman" w:cs="Times New Roman"/>
        </w:rPr>
        <w:t xml:space="preserve">. </w:t>
      </w:r>
      <w:r w:rsidR="00B94193" w:rsidRPr="00EF7291">
        <w:rPr>
          <w:rFonts w:ascii="Times New Roman" w:hAnsi="Times New Roman" w:cs="Times New Roman"/>
        </w:rPr>
        <w:t xml:space="preserve"> </w:t>
      </w:r>
      <w:r w:rsidR="003B298A" w:rsidRPr="00EF7291">
        <w:rPr>
          <w:rFonts w:ascii="Times New Roman" w:hAnsi="Times New Roman" w:cs="Times New Roman"/>
        </w:rPr>
        <w:t>On the other hand, higher potential can be retrieved through aggregation</w:t>
      </w:r>
      <w:r w:rsidR="00126E38">
        <w:rPr>
          <w:rFonts w:ascii="Times New Roman" w:hAnsi="Times New Roman" w:cs="Times New Roman"/>
        </w:rPr>
        <w:t xml:space="preserve"> in</w:t>
      </w:r>
      <w:r w:rsidR="003B298A" w:rsidRPr="00EF7291">
        <w:rPr>
          <w:rFonts w:ascii="Times New Roman" w:hAnsi="Times New Roman" w:cs="Times New Roman"/>
        </w:rPr>
        <w:t xml:space="preserve"> balancing and intraday markets, where synergies between technical and commercial aggregator could foster flexibility activation driven from prices forecasts. Social preferences are crucial in this perspective, as the availability and flexibility from end-user components need to be properly anticipated before the trading. Bilateral communications in the form of requests and approval are assumed in place, in such a way households can negotiate in advance (e.g. day-ahead, hours ahead, etc.) the hours where a technical aggregator can take the control of components. </w:t>
      </w:r>
      <w:r w:rsidR="002E296B">
        <w:rPr>
          <w:rFonts w:ascii="Times New Roman" w:hAnsi="Times New Roman" w:cs="Times New Roman"/>
        </w:rPr>
        <w:t>However</w:t>
      </w:r>
      <w:r w:rsidR="00533895" w:rsidRPr="00EF7291">
        <w:rPr>
          <w:rFonts w:ascii="Times New Roman" w:hAnsi="Times New Roman" w:cs="Times New Roman"/>
        </w:rPr>
        <w:t xml:space="preserve">, the potential of the provision of flexibility through aggregation is limited from the </w:t>
      </w:r>
      <w:r w:rsidR="002E296B">
        <w:rPr>
          <w:rFonts w:ascii="Times New Roman" w:hAnsi="Times New Roman" w:cs="Times New Roman"/>
        </w:rPr>
        <w:t>rollout of smart technologies and IoT development</w:t>
      </w:r>
      <w:r w:rsidR="00533895" w:rsidRPr="00EF7291">
        <w:rPr>
          <w:rFonts w:ascii="Times New Roman" w:hAnsi="Times New Roman" w:cs="Times New Roman"/>
        </w:rPr>
        <w:t xml:space="preserve">. </w:t>
      </w:r>
      <w:r w:rsidR="002E296B">
        <w:rPr>
          <w:rFonts w:ascii="Times New Roman" w:hAnsi="Times New Roman" w:cs="Times New Roman"/>
        </w:rPr>
        <w:t>T</w:t>
      </w:r>
      <w:r w:rsidR="00533895" w:rsidRPr="00EF7291">
        <w:rPr>
          <w:rFonts w:ascii="Times New Roman" w:hAnsi="Times New Roman" w:cs="Times New Roman"/>
        </w:rPr>
        <w:t xml:space="preserve">he potential of forecasts information sharing within the participants is also </w:t>
      </w:r>
      <w:r w:rsidR="002E296B">
        <w:rPr>
          <w:rFonts w:ascii="Times New Roman" w:hAnsi="Times New Roman" w:cs="Times New Roman"/>
        </w:rPr>
        <w:t>found to be beneficial</w:t>
      </w:r>
      <w:r w:rsidR="00533895" w:rsidRPr="00EF7291">
        <w:rPr>
          <w:rFonts w:ascii="Times New Roman" w:hAnsi="Times New Roman" w:cs="Times New Roman"/>
        </w:rPr>
        <w:t xml:space="preserve">. </w:t>
      </w:r>
      <w:r w:rsidR="00F31439" w:rsidRPr="00EF7291">
        <w:rPr>
          <w:rFonts w:ascii="Times New Roman" w:hAnsi="Times New Roman" w:cs="Times New Roman"/>
        </w:rPr>
        <w:t>All the stakeholders would benefit form such data, as (</w:t>
      </w:r>
      <w:proofErr w:type="spellStart"/>
      <w:r w:rsidR="00F31439" w:rsidRPr="00EF7291">
        <w:rPr>
          <w:rFonts w:ascii="Times New Roman" w:hAnsi="Times New Roman" w:cs="Times New Roman"/>
        </w:rPr>
        <w:t>i</w:t>
      </w:r>
      <w:proofErr w:type="spellEnd"/>
      <w:r w:rsidR="00F31439" w:rsidRPr="00EF7291">
        <w:rPr>
          <w:rFonts w:ascii="Times New Roman" w:hAnsi="Times New Roman" w:cs="Times New Roman"/>
        </w:rPr>
        <w:t xml:space="preserve">) energy suppliers could use such forecast to negotiate better price tariffs with the customers, (ii) grid operator can anticipate critical situation for the next day, (iii) aggregation operators could consider when to strategically schedule bids to have a lower impact on local energy sharing, and (iv) the energy communities and its participants can behave more community friendly and improve the exploitation of locally produced renewable energy. </w:t>
      </w:r>
    </w:p>
    <w:sdt>
      <w:sdtPr>
        <w:rPr>
          <w:rFonts w:ascii="Times New Roman" w:eastAsiaTheme="minorHAnsi" w:hAnsi="Times New Roman" w:cs="Times New Roman"/>
          <w:color w:val="auto"/>
          <w:sz w:val="22"/>
          <w:szCs w:val="22"/>
        </w:rPr>
        <w:id w:val="-227996733"/>
        <w:docPartObj>
          <w:docPartGallery w:val="Bibliographies"/>
          <w:docPartUnique/>
        </w:docPartObj>
      </w:sdtPr>
      <w:sdtContent>
        <w:p w14:paraId="70AF36C7" w14:textId="358CE4DF" w:rsidR="00FE1F2F" w:rsidRPr="003412B7" w:rsidRDefault="00FE1F2F">
          <w:pPr>
            <w:pStyle w:val="Heading1"/>
            <w:rPr>
              <w:rFonts w:ascii="Times New Roman" w:hAnsi="Times New Roman" w:cs="Times New Roman"/>
              <w:lang w:val="de-DE"/>
            </w:rPr>
          </w:pPr>
          <w:proofErr w:type="spellStart"/>
          <w:r w:rsidRPr="003412B7">
            <w:rPr>
              <w:rFonts w:ascii="Times New Roman" w:hAnsi="Times New Roman" w:cs="Times New Roman"/>
              <w:lang w:val="de-DE"/>
            </w:rPr>
            <w:t>Bibliography</w:t>
          </w:r>
          <w:proofErr w:type="spellEnd"/>
        </w:p>
        <w:sdt>
          <w:sdtPr>
            <w:rPr>
              <w:rFonts w:ascii="Times New Roman" w:hAnsi="Times New Roman" w:cs="Times New Roman"/>
            </w:rPr>
            <w:id w:val="111145805"/>
            <w:bibliography/>
          </w:sdtPr>
          <w:sdtContent>
            <w:p w14:paraId="3C767E95" w14:textId="77777777" w:rsidR="003412B7" w:rsidRPr="003412B7" w:rsidRDefault="00FE1F2F" w:rsidP="003412B7">
              <w:pPr>
                <w:pStyle w:val="Bibliography"/>
                <w:ind w:left="720" w:hanging="720"/>
                <w:rPr>
                  <w:rFonts w:ascii="Times New Roman" w:hAnsi="Times New Roman" w:cs="Times New Roman"/>
                  <w:noProof/>
                  <w:kern w:val="0"/>
                  <w:sz w:val="24"/>
                  <w:szCs w:val="24"/>
                  <w:lang w:val="de-DE"/>
                  <w14:ligatures w14:val="none"/>
                </w:rPr>
              </w:pPr>
              <w:r w:rsidRPr="003412B7">
                <w:rPr>
                  <w:rFonts w:ascii="Times New Roman" w:hAnsi="Times New Roman" w:cs="Times New Roman"/>
                </w:rPr>
                <w:fldChar w:fldCharType="begin"/>
              </w:r>
              <w:r w:rsidRPr="003412B7">
                <w:rPr>
                  <w:rFonts w:ascii="Times New Roman" w:hAnsi="Times New Roman" w:cs="Times New Roman"/>
                  <w:lang w:val="de-DE"/>
                </w:rPr>
                <w:instrText xml:space="preserve"> BIBLIOGRAPHY </w:instrText>
              </w:r>
              <w:r w:rsidRPr="003412B7">
                <w:rPr>
                  <w:rFonts w:ascii="Times New Roman" w:hAnsi="Times New Roman" w:cs="Times New Roman"/>
                </w:rPr>
                <w:fldChar w:fldCharType="separate"/>
              </w:r>
              <w:r w:rsidR="003412B7" w:rsidRPr="003412B7">
                <w:rPr>
                  <w:rFonts w:ascii="Times New Roman" w:hAnsi="Times New Roman" w:cs="Times New Roman"/>
                  <w:noProof/>
                  <w:lang w:val="de-DE"/>
                </w:rPr>
                <w:t>Bundesgesetz über den Ausbau von Energie aus erneuerbaren Quellen (Erneuerbaren-Ausbau-Gesetz – EAG). (kein Datum). Von https://www.ris.bka.gv.at/Dokumente/Erv/ERV_2021_1_150/ERV_2021_1_150.html abgerufen</w:t>
              </w:r>
            </w:p>
            <w:p w14:paraId="28E2E2F6" w14:textId="77777777" w:rsidR="003412B7" w:rsidRPr="003412B7" w:rsidRDefault="003412B7" w:rsidP="003412B7">
              <w:pPr>
                <w:pStyle w:val="Bibliography"/>
                <w:ind w:left="720" w:hanging="720"/>
                <w:rPr>
                  <w:rFonts w:ascii="Times New Roman" w:hAnsi="Times New Roman" w:cs="Times New Roman"/>
                  <w:noProof/>
                  <w:lang w:val="de-DE"/>
                </w:rPr>
              </w:pPr>
              <w:r w:rsidRPr="003412B7">
                <w:rPr>
                  <w:rFonts w:ascii="Times New Roman" w:hAnsi="Times New Roman" w:cs="Times New Roman"/>
                  <w:noProof/>
                  <w:lang w:val="de-DE"/>
                </w:rPr>
                <w:t>Bundesgesetz, mit dem die Organisation auf dem Gebiet der Elektrizitätswirtschaft neu geregelt wird (Elektrizitätswirtschafts- und –organisationsgesetz 2010 – EIWOG 2010). (kein Datum). Von https://www.ris.bka.gv.at/Dokumente/Erv/ERV_2010_1_110/ERV_2010_1_110.html abgerufen</w:t>
              </w:r>
            </w:p>
            <w:p w14:paraId="2329C020" w14:textId="77777777" w:rsidR="003412B7" w:rsidRPr="003412B7" w:rsidRDefault="003412B7" w:rsidP="003412B7">
              <w:pPr>
                <w:pStyle w:val="Bibliography"/>
                <w:ind w:left="720" w:hanging="720"/>
                <w:rPr>
                  <w:rFonts w:ascii="Times New Roman" w:hAnsi="Times New Roman" w:cs="Times New Roman"/>
                  <w:noProof/>
                </w:rPr>
              </w:pPr>
              <w:r w:rsidRPr="003412B7">
                <w:rPr>
                  <w:rFonts w:ascii="Times New Roman" w:hAnsi="Times New Roman" w:cs="Times New Roman"/>
                  <w:noProof/>
                </w:rPr>
                <w:t xml:space="preserve">Capper, T., Gorbatcheva, A., A. Mustafa, M., Bahloul, M., Schwidtal, J. M., Chitchyan, R., . . . Kiesling, L. (2022). Peer-to-peer, community self-consumption, and transactive energy: A systematic literature review of local energy market models. </w:t>
              </w:r>
              <w:r w:rsidRPr="003412B7">
                <w:rPr>
                  <w:rFonts w:ascii="Times New Roman" w:hAnsi="Times New Roman" w:cs="Times New Roman"/>
                  <w:i/>
                  <w:iCs/>
                  <w:noProof/>
                </w:rPr>
                <w:t>Renewable and Sustainable Energy Reviews, 162</w:t>
              </w:r>
              <w:r w:rsidRPr="003412B7">
                <w:rPr>
                  <w:rFonts w:ascii="Times New Roman" w:hAnsi="Times New Roman" w:cs="Times New Roman"/>
                  <w:noProof/>
                </w:rPr>
                <w:t>, 112403. doi:https://doi.org/10.1016/j.rser.2022.112403</w:t>
              </w:r>
            </w:p>
            <w:p w14:paraId="13BC4D6A" w14:textId="77777777" w:rsidR="003412B7" w:rsidRPr="003412B7" w:rsidRDefault="003412B7" w:rsidP="003412B7">
              <w:pPr>
                <w:pStyle w:val="Bibliography"/>
                <w:ind w:left="720" w:hanging="720"/>
                <w:rPr>
                  <w:rFonts w:ascii="Times New Roman" w:hAnsi="Times New Roman" w:cs="Times New Roman"/>
                  <w:noProof/>
                  <w:lang w:val="de-DE"/>
                </w:rPr>
              </w:pPr>
              <w:r w:rsidRPr="003412B7">
                <w:rPr>
                  <w:rFonts w:ascii="Times New Roman" w:hAnsi="Times New Roman" w:cs="Times New Roman"/>
                  <w:noProof/>
                </w:rPr>
                <w:t xml:space="preserve">European Commission. (2018). </w:t>
              </w:r>
              <w:r w:rsidRPr="003412B7">
                <w:rPr>
                  <w:rFonts w:ascii="Times New Roman" w:hAnsi="Times New Roman" w:cs="Times New Roman"/>
                  <w:i/>
                  <w:iCs/>
                  <w:noProof/>
                </w:rPr>
                <w:t>DIRECTIVE (EU) 2018/2001 OF THE EUROPEAN PARLIAMENTAND OF THE COUNCIL of 11 December 2018 on the promotion of the use of energy from renewable sources (recast), Official Journal of the European Union 2018</w:t>
              </w:r>
              <w:r w:rsidRPr="003412B7">
                <w:rPr>
                  <w:rFonts w:ascii="Times New Roman" w:hAnsi="Times New Roman" w:cs="Times New Roman"/>
                  <w:noProof/>
                </w:rPr>
                <w:t xml:space="preserve">. </w:t>
              </w:r>
              <w:r w:rsidRPr="003412B7">
                <w:rPr>
                  <w:rFonts w:ascii="Times New Roman" w:hAnsi="Times New Roman" w:cs="Times New Roman"/>
                  <w:noProof/>
                  <w:lang w:val="de-DE"/>
                </w:rPr>
                <w:t>Von https://eur-lex.europa.eu/legal-content/EN/TXT/PDF/?uri=CELEX:32018L2001 abgerufen</w:t>
              </w:r>
            </w:p>
            <w:p w14:paraId="39F2A16B" w14:textId="77777777" w:rsidR="003412B7" w:rsidRPr="003412B7" w:rsidRDefault="003412B7" w:rsidP="003412B7">
              <w:pPr>
                <w:pStyle w:val="Bibliography"/>
                <w:ind w:left="720" w:hanging="720"/>
                <w:rPr>
                  <w:rFonts w:ascii="Times New Roman" w:hAnsi="Times New Roman" w:cs="Times New Roman"/>
                  <w:noProof/>
                  <w:lang w:val="de-DE"/>
                </w:rPr>
              </w:pPr>
              <w:r w:rsidRPr="003412B7">
                <w:rPr>
                  <w:rFonts w:ascii="Times New Roman" w:hAnsi="Times New Roman" w:cs="Times New Roman"/>
                  <w:noProof/>
                </w:rPr>
                <w:t xml:space="preserve">European Commission. (2019). </w:t>
              </w:r>
              <w:r w:rsidRPr="003412B7">
                <w:rPr>
                  <w:rFonts w:ascii="Times New Roman" w:hAnsi="Times New Roman" w:cs="Times New Roman"/>
                  <w:i/>
                  <w:iCs/>
                  <w:noProof/>
                </w:rPr>
                <w:t>Clean energy for all europeans package</w:t>
              </w:r>
              <w:r w:rsidRPr="003412B7">
                <w:rPr>
                  <w:rFonts w:ascii="Times New Roman" w:hAnsi="Times New Roman" w:cs="Times New Roman"/>
                  <w:noProof/>
                </w:rPr>
                <w:t xml:space="preserve">. </w:t>
              </w:r>
              <w:r w:rsidRPr="003412B7">
                <w:rPr>
                  <w:rFonts w:ascii="Times New Roman" w:hAnsi="Times New Roman" w:cs="Times New Roman"/>
                  <w:noProof/>
                  <w:lang w:val="de-DE"/>
                </w:rPr>
                <w:t>Von https://energy.ec.europa.eu/topics/energy-strategy/clean-energy-all-europeans-package_en abgerufen</w:t>
              </w:r>
            </w:p>
            <w:p w14:paraId="2C274B68" w14:textId="77777777" w:rsidR="003412B7" w:rsidRPr="003412B7" w:rsidRDefault="003412B7" w:rsidP="003412B7">
              <w:pPr>
                <w:pStyle w:val="Bibliography"/>
                <w:ind w:left="720" w:hanging="720"/>
                <w:rPr>
                  <w:rFonts w:ascii="Times New Roman" w:hAnsi="Times New Roman" w:cs="Times New Roman"/>
                  <w:noProof/>
                  <w:lang w:val="de-DE"/>
                </w:rPr>
              </w:pPr>
              <w:r w:rsidRPr="003412B7">
                <w:rPr>
                  <w:rFonts w:ascii="Times New Roman" w:hAnsi="Times New Roman" w:cs="Times New Roman"/>
                  <w:noProof/>
                </w:rPr>
                <w:t xml:space="preserve">European Commission. (2019). </w:t>
              </w:r>
              <w:r w:rsidRPr="003412B7">
                <w:rPr>
                  <w:rFonts w:ascii="Times New Roman" w:hAnsi="Times New Roman" w:cs="Times New Roman"/>
                  <w:i/>
                  <w:iCs/>
                  <w:noProof/>
                </w:rPr>
                <w:t>DIRECTIVE (EU) 2019/944 OF THE EUROPEAN PARLIAMENT AND OF THE COUNCIL of 5 June 2019 on common rules for the internal market for electricity and amending Directive 2012/27/EU (recast), Official Journal of the European Union</w:t>
              </w:r>
              <w:r w:rsidRPr="003412B7">
                <w:rPr>
                  <w:rFonts w:ascii="Times New Roman" w:hAnsi="Times New Roman" w:cs="Times New Roman"/>
                  <w:noProof/>
                </w:rPr>
                <w:t xml:space="preserve">. </w:t>
              </w:r>
              <w:r w:rsidRPr="003412B7">
                <w:rPr>
                  <w:rFonts w:ascii="Times New Roman" w:hAnsi="Times New Roman" w:cs="Times New Roman"/>
                  <w:noProof/>
                  <w:lang w:val="de-DE"/>
                </w:rPr>
                <w:t>Von https://eur-lex.europa.eu/legal-content/EN/TXT/PDF/?uri=CELEX:32019L0944&amp;from=EN abgerufen</w:t>
              </w:r>
            </w:p>
            <w:p w14:paraId="7A849DD5" w14:textId="77777777" w:rsidR="003412B7" w:rsidRPr="003412B7" w:rsidRDefault="003412B7" w:rsidP="003412B7">
              <w:pPr>
                <w:pStyle w:val="Bibliography"/>
                <w:ind w:left="720" w:hanging="720"/>
                <w:rPr>
                  <w:rFonts w:ascii="Times New Roman" w:hAnsi="Times New Roman" w:cs="Times New Roman"/>
                  <w:noProof/>
                </w:rPr>
              </w:pPr>
              <w:r w:rsidRPr="003412B7">
                <w:rPr>
                  <w:rFonts w:ascii="Times New Roman" w:hAnsi="Times New Roman" w:cs="Times New Roman"/>
                  <w:noProof/>
                </w:rPr>
                <w:t xml:space="preserve">Hampton, H., Foley, A. M., Del Rio, D. F., &amp; Sovacool, B. (2022). Developing future retail electricity markets with a customer-centric focus. </w:t>
              </w:r>
              <w:r w:rsidRPr="003412B7">
                <w:rPr>
                  <w:rFonts w:ascii="Times New Roman" w:hAnsi="Times New Roman" w:cs="Times New Roman"/>
                  <w:i/>
                  <w:iCs/>
                  <w:noProof/>
                </w:rPr>
                <w:t>Energy Policy, 168</w:t>
              </w:r>
              <w:r w:rsidRPr="003412B7">
                <w:rPr>
                  <w:rFonts w:ascii="Times New Roman" w:hAnsi="Times New Roman" w:cs="Times New Roman"/>
                  <w:noProof/>
                </w:rPr>
                <w:t>, 113147. doi:https://doi.org/10.1016/j.enpol.2022.113147</w:t>
              </w:r>
            </w:p>
            <w:p w14:paraId="4CA7F867" w14:textId="77777777" w:rsidR="003412B7" w:rsidRPr="003412B7" w:rsidRDefault="003412B7" w:rsidP="003412B7">
              <w:pPr>
                <w:pStyle w:val="Bibliography"/>
                <w:ind w:left="720" w:hanging="720"/>
                <w:rPr>
                  <w:rFonts w:ascii="Times New Roman" w:hAnsi="Times New Roman" w:cs="Times New Roman"/>
                  <w:noProof/>
                </w:rPr>
              </w:pPr>
              <w:r w:rsidRPr="003412B7">
                <w:rPr>
                  <w:rFonts w:ascii="Times New Roman" w:hAnsi="Times New Roman" w:cs="Times New Roman"/>
                  <w:noProof/>
                </w:rPr>
                <w:lastRenderedPageBreak/>
                <w:t xml:space="preserve">Lehmann, N., Huber, J., &amp; Kießling, A. (2019). Flexibility in the context of a cellular. </w:t>
              </w:r>
              <w:r w:rsidRPr="003412B7">
                <w:rPr>
                  <w:rFonts w:ascii="Times New Roman" w:hAnsi="Times New Roman" w:cs="Times New Roman"/>
                  <w:i/>
                  <w:iCs/>
                  <w:noProof/>
                </w:rPr>
                <w:t>16th International Conference on the European Energy Market (EEM).</w:t>
              </w:r>
              <w:r w:rsidRPr="003412B7">
                <w:rPr>
                  <w:rFonts w:ascii="Times New Roman" w:hAnsi="Times New Roman" w:cs="Times New Roman"/>
                  <w:noProof/>
                </w:rPr>
                <w:t xml:space="preserve"> doi:10.1109/EEM.2019.8916358</w:t>
              </w:r>
            </w:p>
            <w:p w14:paraId="62F1635A" w14:textId="77777777" w:rsidR="003412B7" w:rsidRPr="003412B7" w:rsidRDefault="003412B7" w:rsidP="003412B7">
              <w:pPr>
                <w:pStyle w:val="Bibliography"/>
                <w:ind w:left="720" w:hanging="720"/>
                <w:rPr>
                  <w:rFonts w:ascii="Times New Roman" w:hAnsi="Times New Roman" w:cs="Times New Roman"/>
                  <w:noProof/>
                </w:rPr>
              </w:pPr>
              <w:r w:rsidRPr="003412B7">
                <w:rPr>
                  <w:rFonts w:ascii="Times New Roman" w:hAnsi="Times New Roman" w:cs="Times New Roman"/>
                  <w:noProof/>
                </w:rPr>
                <w:t xml:space="preserve">Paiho, S., Kiljander, J., Sarala, R., Siikavirta, H., Kilkki, O., Bajpai, A., . . . Weisshaupt, T. (2021). Towards cross-commodity energy-sharing communities – A review of the market, regulatory, and technical situation. </w:t>
              </w:r>
              <w:r w:rsidRPr="003412B7">
                <w:rPr>
                  <w:rFonts w:ascii="Times New Roman" w:hAnsi="Times New Roman" w:cs="Times New Roman"/>
                  <w:i/>
                  <w:iCs/>
                  <w:noProof/>
                </w:rPr>
                <w:t>Renewable and Sustainable Energy Reviews, 151</w:t>
              </w:r>
              <w:r w:rsidRPr="003412B7">
                <w:rPr>
                  <w:rFonts w:ascii="Times New Roman" w:hAnsi="Times New Roman" w:cs="Times New Roman"/>
                  <w:noProof/>
                </w:rPr>
                <w:t>, 111568. doi:https://doi.org/10.1016/j.rser.2021.111568</w:t>
              </w:r>
            </w:p>
            <w:p w14:paraId="617D6F07" w14:textId="77777777" w:rsidR="003412B7" w:rsidRPr="003412B7" w:rsidRDefault="003412B7" w:rsidP="003412B7">
              <w:pPr>
                <w:pStyle w:val="Bibliography"/>
                <w:ind w:left="720" w:hanging="720"/>
                <w:rPr>
                  <w:rFonts w:ascii="Times New Roman" w:hAnsi="Times New Roman" w:cs="Times New Roman"/>
                  <w:noProof/>
                  <w:lang w:val="de-DE"/>
                </w:rPr>
              </w:pPr>
              <w:r w:rsidRPr="003412B7">
                <w:rPr>
                  <w:rFonts w:ascii="Times New Roman" w:hAnsi="Times New Roman" w:cs="Times New Roman"/>
                  <w:noProof/>
                  <w:lang w:val="de-DE"/>
                </w:rPr>
                <w:t>Perger, T., Kalt, G., Kabinger, A., Materazzi-Wagner, C., &amp; Kaiser, S. (2024). Modelle für unabhängige Aggregatoren. 18. Symposium Energieinnovation. Von https://www.tugraz.at/fileadmin/user_upload/tugrazExternal/f560810f-089d-42d8-ae6d-8e82a8454ca9/files/pr/234_PR_Perger.pdf abgerufen</w:t>
              </w:r>
            </w:p>
            <w:p w14:paraId="0CD55334" w14:textId="763DA26B" w:rsidR="00FE1F2F" w:rsidRPr="00EF7291" w:rsidRDefault="00FE1F2F" w:rsidP="003412B7">
              <w:pPr>
                <w:rPr>
                  <w:rFonts w:ascii="Times New Roman" w:hAnsi="Times New Roman" w:cs="Times New Roman"/>
                </w:rPr>
              </w:pPr>
              <w:r w:rsidRPr="003412B7">
                <w:rPr>
                  <w:rFonts w:ascii="Times New Roman" w:hAnsi="Times New Roman" w:cs="Times New Roman"/>
                  <w:b/>
                  <w:bCs/>
                  <w:noProof/>
                </w:rPr>
                <w:fldChar w:fldCharType="end"/>
              </w:r>
            </w:p>
          </w:sdtContent>
        </w:sdt>
      </w:sdtContent>
    </w:sdt>
    <w:p w14:paraId="03338966" w14:textId="353C9865" w:rsidR="00607B15" w:rsidRPr="00EF7291" w:rsidRDefault="00607B15" w:rsidP="00F629D2">
      <w:pPr>
        <w:jc w:val="both"/>
        <w:rPr>
          <w:rFonts w:ascii="Times New Roman" w:hAnsi="Times New Roman" w:cs="Times New Roman"/>
        </w:rPr>
      </w:pPr>
    </w:p>
    <w:sectPr w:rsidR="00607B15" w:rsidRPr="00EF7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94"/>
    <w:rsid w:val="00006A23"/>
    <w:rsid w:val="000338B4"/>
    <w:rsid w:val="00110F19"/>
    <w:rsid w:val="00126E38"/>
    <w:rsid w:val="001D7FAE"/>
    <w:rsid w:val="002009E3"/>
    <w:rsid w:val="0020440C"/>
    <w:rsid w:val="002E09F9"/>
    <w:rsid w:val="002E296B"/>
    <w:rsid w:val="002E70DD"/>
    <w:rsid w:val="003412B7"/>
    <w:rsid w:val="003B298A"/>
    <w:rsid w:val="00485334"/>
    <w:rsid w:val="004C1C64"/>
    <w:rsid w:val="004E7598"/>
    <w:rsid w:val="00533895"/>
    <w:rsid w:val="005879E5"/>
    <w:rsid w:val="005955A9"/>
    <w:rsid w:val="005D6F94"/>
    <w:rsid w:val="00607B15"/>
    <w:rsid w:val="00665D3D"/>
    <w:rsid w:val="006940CD"/>
    <w:rsid w:val="006D70D0"/>
    <w:rsid w:val="00755B03"/>
    <w:rsid w:val="007A01DD"/>
    <w:rsid w:val="007B0409"/>
    <w:rsid w:val="007B1808"/>
    <w:rsid w:val="00844EC5"/>
    <w:rsid w:val="008624A9"/>
    <w:rsid w:val="008843E6"/>
    <w:rsid w:val="009D4FE8"/>
    <w:rsid w:val="009D6DAC"/>
    <w:rsid w:val="00A0322B"/>
    <w:rsid w:val="00A328B0"/>
    <w:rsid w:val="00AE690B"/>
    <w:rsid w:val="00B37E66"/>
    <w:rsid w:val="00B94193"/>
    <w:rsid w:val="00BE331C"/>
    <w:rsid w:val="00C062A2"/>
    <w:rsid w:val="00C27E20"/>
    <w:rsid w:val="00D83388"/>
    <w:rsid w:val="00D86A98"/>
    <w:rsid w:val="00DC07D8"/>
    <w:rsid w:val="00E433AC"/>
    <w:rsid w:val="00E812E1"/>
    <w:rsid w:val="00EA2985"/>
    <w:rsid w:val="00EF7291"/>
    <w:rsid w:val="00F27C76"/>
    <w:rsid w:val="00F31439"/>
    <w:rsid w:val="00F32A48"/>
    <w:rsid w:val="00F629D2"/>
    <w:rsid w:val="00F87AAD"/>
    <w:rsid w:val="00FA31EE"/>
    <w:rsid w:val="00FE1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4BEE"/>
  <w15:chartTrackingRefBased/>
  <w15:docId w15:val="{D548342F-334D-41CD-B151-737A444C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6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6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6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6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6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6F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6F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6F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6F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6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6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6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6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6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6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6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6F94"/>
    <w:rPr>
      <w:rFonts w:eastAsiaTheme="majorEastAsia" w:cstheme="majorBidi"/>
      <w:color w:val="272727" w:themeColor="text1" w:themeTint="D8"/>
    </w:rPr>
  </w:style>
  <w:style w:type="paragraph" w:styleId="Title">
    <w:name w:val="Title"/>
    <w:basedOn w:val="Normal"/>
    <w:next w:val="Normal"/>
    <w:link w:val="TitleChar"/>
    <w:uiPriority w:val="10"/>
    <w:qFormat/>
    <w:rsid w:val="005D6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6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6F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6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6F94"/>
    <w:pPr>
      <w:spacing w:before="160"/>
      <w:jc w:val="center"/>
    </w:pPr>
    <w:rPr>
      <w:i/>
      <w:iCs/>
      <w:color w:val="404040" w:themeColor="text1" w:themeTint="BF"/>
    </w:rPr>
  </w:style>
  <w:style w:type="character" w:customStyle="1" w:styleId="QuoteChar">
    <w:name w:val="Quote Char"/>
    <w:basedOn w:val="DefaultParagraphFont"/>
    <w:link w:val="Quote"/>
    <w:uiPriority w:val="29"/>
    <w:rsid w:val="005D6F94"/>
    <w:rPr>
      <w:i/>
      <w:iCs/>
      <w:color w:val="404040" w:themeColor="text1" w:themeTint="BF"/>
    </w:rPr>
  </w:style>
  <w:style w:type="paragraph" w:styleId="ListParagraph">
    <w:name w:val="List Paragraph"/>
    <w:basedOn w:val="Normal"/>
    <w:uiPriority w:val="34"/>
    <w:qFormat/>
    <w:rsid w:val="005D6F94"/>
    <w:pPr>
      <w:ind w:left="720"/>
      <w:contextualSpacing/>
    </w:pPr>
  </w:style>
  <w:style w:type="character" w:styleId="IntenseEmphasis">
    <w:name w:val="Intense Emphasis"/>
    <w:basedOn w:val="DefaultParagraphFont"/>
    <w:uiPriority w:val="21"/>
    <w:qFormat/>
    <w:rsid w:val="005D6F94"/>
    <w:rPr>
      <w:i/>
      <w:iCs/>
      <w:color w:val="0F4761" w:themeColor="accent1" w:themeShade="BF"/>
    </w:rPr>
  </w:style>
  <w:style w:type="paragraph" w:styleId="IntenseQuote">
    <w:name w:val="Intense Quote"/>
    <w:basedOn w:val="Normal"/>
    <w:next w:val="Normal"/>
    <w:link w:val="IntenseQuoteChar"/>
    <w:uiPriority w:val="30"/>
    <w:qFormat/>
    <w:rsid w:val="005D6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6F94"/>
    <w:rPr>
      <w:i/>
      <w:iCs/>
      <w:color w:val="0F4761" w:themeColor="accent1" w:themeShade="BF"/>
    </w:rPr>
  </w:style>
  <w:style w:type="character" w:styleId="IntenseReference">
    <w:name w:val="Intense Reference"/>
    <w:basedOn w:val="DefaultParagraphFont"/>
    <w:uiPriority w:val="32"/>
    <w:qFormat/>
    <w:rsid w:val="005D6F94"/>
    <w:rPr>
      <w:b/>
      <w:bCs/>
      <w:smallCaps/>
      <w:color w:val="0F4761" w:themeColor="accent1" w:themeShade="BF"/>
      <w:spacing w:val="5"/>
    </w:rPr>
  </w:style>
  <w:style w:type="paragraph" w:styleId="Bibliography">
    <w:name w:val="Bibliography"/>
    <w:basedOn w:val="Normal"/>
    <w:next w:val="Normal"/>
    <w:uiPriority w:val="37"/>
    <w:unhideWhenUsed/>
    <w:rsid w:val="00FE1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540">
      <w:bodyDiv w:val="1"/>
      <w:marLeft w:val="0"/>
      <w:marRight w:val="0"/>
      <w:marTop w:val="0"/>
      <w:marBottom w:val="0"/>
      <w:divBdr>
        <w:top w:val="none" w:sz="0" w:space="0" w:color="auto"/>
        <w:left w:val="none" w:sz="0" w:space="0" w:color="auto"/>
        <w:bottom w:val="none" w:sz="0" w:space="0" w:color="auto"/>
        <w:right w:val="none" w:sz="0" w:space="0" w:color="auto"/>
      </w:divBdr>
    </w:div>
    <w:div w:id="49043904">
      <w:bodyDiv w:val="1"/>
      <w:marLeft w:val="0"/>
      <w:marRight w:val="0"/>
      <w:marTop w:val="0"/>
      <w:marBottom w:val="0"/>
      <w:divBdr>
        <w:top w:val="none" w:sz="0" w:space="0" w:color="auto"/>
        <w:left w:val="none" w:sz="0" w:space="0" w:color="auto"/>
        <w:bottom w:val="none" w:sz="0" w:space="0" w:color="auto"/>
        <w:right w:val="none" w:sz="0" w:space="0" w:color="auto"/>
      </w:divBdr>
    </w:div>
    <w:div w:id="58406056">
      <w:bodyDiv w:val="1"/>
      <w:marLeft w:val="0"/>
      <w:marRight w:val="0"/>
      <w:marTop w:val="0"/>
      <w:marBottom w:val="0"/>
      <w:divBdr>
        <w:top w:val="none" w:sz="0" w:space="0" w:color="auto"/>
        <w:left w:val="none" w:sz="0" w:space="0" w:color="auto"/>
        <w:bottom w:val="none" w:sz="0" w:space="0" w:color="auto"/>
        <w:right w:val="none" w:sz="0" w:space="0" w:color="auto"/>
      </w:divBdr>
    </w:div>
    <w:div w:id="59987527">
      <w:bodyDiv w:val="1"/>
      <w:marLeft w:val="0"/>
      <w:marRight w:val="0"/>
      <w:marTop w:val="0"/>
      <w:marBottom w:val="0"/>
      <w:divBdr>
        <w:top w:val="none" w:sz="0" w:space="0" w:color="auto"/>
        <w:left w:val="none" w:sz="0" w:space="0" w:color="auto"/>
        <w:bottom w:val="none" w:sz="0" w:space="0" w:color="auto"/>
        <w:right w:val="none" w:sz="0" w:space="0" w:color="auto"/>
      </w:divBdr>
    </w:div>
    <w:div w:id="99683367">
      <w:bodyDiv w:val="1"/>
      <w:marLeft w:val="0"/>
      <w:marRight w:val="0"/>
      <w:marTop w:val="0"/>
      <w:marBottom w:val="0"/>
      <w:divBdr>
        <w:top w:val="none" w:sz="0" w:space="0" w:color="auto"/>
        <w:left w:val="none" w:sz="0" w:space="0" w:color="auto"/>
        <w:bottom w:val="none" w:sz="0" w:space="0" w:color="auto"/>
        <w:right w:val="none" w:sz="0" w:space="0" w:color="auto"/>
      </w:divBdr>
    </w:div>
    <w:div w:id="125660766">
      <w:bodyDiv w:val="1"/>
      <w:marLeft w:val="0"/>
      <w:marRight w:val="0"/>
      <w:marTop w:val="0"/>
      <w:marBottom w:val="0"/>
      <w:divBdr>
        <w:top w:val="none" w:sz="0" w:space="0" w:color="auto"/>
        <w:left w:val="none" w:sz="0" w:space="0" w:color="auto"/>
        <w:bottom w:val="none" w:sz="0" w:space="0" w:color="auto"/>
        <w:right w:val="none" w:sz="0" w:space="0" w:color="auto"/>
      </w:divBdr>
    </w:div>
    <w:div w:id="142938949">
      <w:bodyDiv w:val="1"/>
      <w:marLeft w:val="0"/>
      <w:marRight w:val="0"/>
      <w:marTop w:val="0"/>
      <w:marBottom w:val="0"/>
      <w:divBdr>
        <w:top w:val="none" w:sz="0" w:space="0" w:color="auto"/>
        <w:left w:val="none" w:sz="0" w:space="0" w:color="auto"/>
        <w:bottom w:val="none" w:sz="0" w:space="0" w:color="auto"/>
        <w:right w:val="none" w:sz="0" w:space="0" w:color="auto"/>
      </w:divBdr>
    </w:div>
    <w:div w:id="146938471">
      <w:bodyDiv w:val="1"/>
      <w:marLeft w:val="0"/>
      <w:marRight w:val="0"/>
      <w:marTop w:val="0"/>
      <w:marBottom w:val="0"/>
      <w:divBdr>
        <w:top w:val="none" w:sz="0" w:space="0" w:color="auto"/>
        <w:left w:val="none" w:sz="0" w:space="0" w:color="auto"/>
        <w:bottom w:val="none" w:sz="0" w:space="0" w:color="auto"/>
        <w:right w:val="none" w:sz="0" w:space="0" w:color="auto"/>
      </w:divBdr>
    </w:div>
    <w:div w:id="155339944">
      <w:bodyDiv w:val="1"/>
      <w:marLeft w:val="0"/>
      <w:marRight w:val="0"/>
      <w:marTop w:val="0"/>
      <w:marBottom w:val="0"/>
      <w:divBdr>
        <w:top w:val="none" w:sz="0" w:space="0" w:color="auto"/>
        <w:left w:val="none" w:sz="0" w:space="0" w:color="auto"/>
        <w:bottom w:val="none" w:sz="0" w:space="0" w:color="auto"/>
        <w:right w:val="none" w:sz="0" w:space="0" w:color="auto"/>
      </w:divBdr>
    </w:div>
    <w:div w:id="189605896">
      <w:bodyDiv w:val="1"/>
      <w:marLeft w:val="0"/>
      <w:marRight w:val="0"/>
      <w:marTop w:val="0"/>
      <w:marBottom w:val="0"/>
      <w:divBdr>
        <w:top w:val="none" w:sz="0" w:space="0" w:color="auto"/>
        <w:left w:val="none" w:sz="0" w:space="0" w:color="auto"/>
        <w:bottom w:val="none" w:sz="0" w:space="0" w:color="auto"/>
        <w:right w:val="none" w:sz="0" w:space="0" w:color="auto"/>
      </w:divBdr>
    </w:div>
    <w:div w:id="225261604">
      <w:bodyDiv w:val="1"/>
      <w:marLeft w:val="0"/>
      <w:marRight w:val="0"/>
      <w:marTop w:val="0"/>
      <w:marBottom w:val="0"/>
      <w:divBdr>
        <w:top w:val="none" w:sz="0" w:space="0" w:color="auto"/>
        <w:left w:val="none" w:sz="0" w:space="0" w:color="auto"/>
        <w:bottom w:val="none" w:sz="0" w:space="0" w:color="auto"/>
        <w:right w:val="none" w:sz="0" w:space="0" w:color="auto"/>
      </w:divBdr>
    </w:div>
    <w:div w:id="237325325">
      <w:bodyDiv w:val="1"/>
      <w:marLeft w:val="0"/>
      <w:marRight w:val="0"/>
      <w:marTop w:val="0"/>
      <w:marBottom w:val="0"/>
      <w:divBdr>
        <w:top w:val="none" w:sz="0" w:space="0" w:color="auto"/>
        <w:left w:val="none" w:sz="0" w:space="0" w:color="auto"/>
        <w:bottom w:val="none" w:sz="0" w:space="0" w:color="auto"/>
        <w:right w:val="none" w:sz="0" w:space="0" w:color="auto"/>
      </w:divBdr>
    </w:div>
    <w:div w:id="252051701">
      <w:bodyDiv w:val="1"/>
      <w:marLeft w:val="0"/>
      <w:marRight w:val="0"/>
      <w:marTop w:val="0"/>
      <w:marBottom w:val="0"/>
      <w:divBdr>
        <w:top w:val="none" w:sz="0" w:space="0" w:color="auto"/>
        <w:left w:val="none" w:sz="0" w:space="0" w:color="auto"/>
        <w:bottom w:val="none" w:sz="0" w:space="0" w:color="auto"/>
        <w:right w:val="none" w:sz="0" w:space="0" w:color="auto"/>
      </w:divBdr>
    </w:div>
    <w:div w:id="277446095">
      <w:bodyDiv w:val="1"/>
      <w:marLeft w:val="0"/>
      <w:marRight w:val="0"/>
      <w:marTop w:val="0"/>
      <w:marBottom w:val="0"/>
      <w:divBdr>
        <w:top w:val="none" w:sz="0" w:space="0" w:color="auto"/>
        <w:left w:val="none" w:sz="0" w:space="0" w:color="auto"/>
        <w:bottom w:val="none" w:sz="0" w:space="0" w:color="auto"/>
        <w:right w:val="none" w:sz="0" w:space="0" w:color="auto"/>
      </w:divBdr>
    </w:div>
    <w:div w:id="369109678">
      <w:bodyDiv w:val="1"/>
      <w:marLeft w:val="0"/>
      <w:marRight w:val="0"/>
      <w:marTop w:val="0"/>
      <w:marBottom w:val="0"/>
      <w:divBdr>
        <w:top w:val="none" w:sz="0" w:space="0" w:color="auto"/>
        <w:left w:val="none" w:sz="0" w:space="0" w:color="auto"/>
        <w:bottom w:val="none" w:sz="0" w:space="0" w:color="auto"/>
        <w:right w:val="none" w:sz="0" w:space="0" w:color="auto"/>
      </w:divBdr>
    </w:div>
    <w:div w:id="415592635">
      <w:bodyDiv w:val="1"/>
      <w:marLeft w:val="0"/>
      <w:marRight w:val="0"/>
      <w:marTop w:val="0"/>
      <w:marBottom w:val="0"/>
      <w:divBdr>
        <w:top w:val="none" w:sz="0" w:space="0" w:color="auto"/>
        <w:left w:val="none" w:sz="0" w:space="0" w:color="auto"/>
        <w:bottom w:val="none" w:sz="0" w:space="0" w:color="auto"/>
        <w:right w:val="none" w:sz="0" w:space="0" w:color="auto"/>
      </w:divBdr>
    </w:div>
    <w:div w:id="425466721">
      <w:bodyDiv w:val="1"/>
      <w:marLeft w:val="0"/>
      <w:marRight w:val="0"/>
      <w:marTop w:val="0"/>
      <w:marBottom w:val="0"/>
      <w:divBdr>
        <w:top w:val="none" w:sz="0" w:space="0" w:color="auto"/>
        <w:left w:val="none" w:sz="0" w:space="0" w:color="auto"/>
        <w:bottom w:val="none" w:sz="0" w:space="0" w:color="auto"/>
        <w:right w:val="none" w:sz="0" w:space="0" w:color="auto"/>
      </w:divBdr>
    </w:div>
    <w:div w:id="430320201">
      <w:bodyDiv w:val="1"/>
      <w:marLeft w:val="0"/>
      <w:marRight w:val="0"/>
      <w:marTop w:val="0"/>
      <w:marBottom w:val="0"/>
      <w:divBdr>
        <w:top w:val="none" w:sz="0" w:space="0" w:color="auto"/>
        <w:left w:val="none" w:sz="0" w:space="0" w:color="auto"/>
        <w:bottom w:val="none" w:sz="0" w:space="0" w:color="auto"/>
        <w:right w:val="none" w:sz="0" w:space="0" w:color="auto"/>
      </w:divBdr>
    </w:div>
    <w:div w:id="491602122">
      <w:bodyDiv w:val="1"/>
      <w:marLeft w:val="0"/>
      <w:marRight w:val="0"/>
      <w:marTop w:val="0"/>
      <w:marBottom w:val="0"/>
      <w:divBdr>
        <w:top w:val="none" w:sz="0" w:space="0" w:color="auto"/>
        <w:left w:val="none" w:sz="0" w:space="0" w:color="auto"/>
        <w:bottom w:val="none" w:sz="0" w:space="0" w:color="auto"/>
        <w:right w:val="none" w:sz="0" w:space="0" w:color="auto"/>
      </w:divBdr>
    </w:div>
    <w:div w:id="504629996">
      <w:bodyDiv w:val="1"/>
      <w:marLeft w:val="0"/>
      <w:marRight w:val="0"/>
      <w:marTop w:val="0"/>
      <w:marBottom w:val="0"/>
      <w:divBdr>
        <w:top w:val="none" w:sz="0" w:space="0" w:color="auto"/>
        <w:left w:val="none" w:sz="0" w:space="0" w:color="auto"/>
        <w:bottom w:val="none" w:sz="0" w:space="0" w:color="auto"/>
        <w:right w:val="none" w:sz="0" w:space="0" w:color="auto"/>
      </w:divBdr>
      <w:divsChild>
        <w:div w:id="2105300288">
          <w:marLeft w:val="0"/>
          <w:marRight w:val="0"/>
          <w:marTop w:val="0"/>
          <w:marBottom w:val="0"/>
          <w:divBdr>
            <w:top w:val="none" w:sz="0" w:space="0" w:color="auto"/>
            <w:left w:val="none" w:sz="0" w:space="0" w:color="auto"/>
            <w:bottom w:val="none" w:sz="0" w:space="0" w:color="auto"/>
            <w:right w:val="none" w:sz="0" w:space="0" w:color="auto"/>
          </w:divBdr>
        </w:div>
      </w:divsChild>
    </w:div>
    <w:div w:id="528419133">
      <w:bodyDiv w:val="1"/>
      <w:marLeft w:val="0"/>
      <w:marRight w:val="0"/>
      <w:marTop w:val="0"/>
      <w:marBottom w:val="0"/>
      <w:divBdr>
        <w:top w:val="none" w:sz="0" w:space="0" w:color="auto"/>
        <w:left w:val="none" w:sz="0" w:space="0" w:color="auto"/>
        <w:bottom w:val="none" w:sz="0" w:space="0" w:color="auto"/>
        <w:right w:val="none" w:sz="0" w:space="0" w:color="auto"/>
      </w:divBdr>
    </w:div>
    <w:div w:id="554850915">
      <w:bodyDiv w:val="1"/>
      <w:marLeft w:val="0"/>
      <w:marRight w:val="0"/>
      <w:marTop w:val="0"/>
      <w:marBottom w:val="0"/>
      <w:divBdr>
        <w:top w:val="none" w:sz="0" w:space="0" w:color="auto"/>
        <w:left w:val="none" w:sz="0" w:space="0" w:color="auto"/>
        <w:bottom w:val="none" w:sz="0" w:space="0" w:color="auto"/>
        <w:right w:val="none" w:sz="0" w:space="0" w:color="auto"/>
      </w:divBdr>
    </w:div>
    <w:div w:id="563101298">
      <w:bodyDiv w:val="1"/>
      <w:marLeft w:val="0"/>
      <w:marRight w:val="0"/>
      <w:marTop w:val="0"/>
      <w:marBottom w:val="0"/>
      <w:divBdr>
        <w:top w:val="none" w:sz="0" w:space="0" w:color="auto"/>
        <w:left w:val="none" w:sz="0" w:space="0" w:color="auto"/>
        <w:bottom w:val="none" w:sz="0" w:space="0" w:color="auto"/>
        <w:right w:val="none" w:sz="0" w:space="0" w:color="auto"/>
      </w:divBdr>
    </w:div>
    <w:div w:id="566378138">
      <w:bodyDiv w:val="1"/>
      <w:marLeft w:val="0"/>
      <w:marRight w:val="0"/>
      <w:marTop w:val="0"/>
      <w:marBottom w:val="0"/>
      <w:divBdr>
        <w:top w:val="none" w:sz="0" w:space="0" w:color="auto"/>
        <w:left w:val="none" w:sz="0" w:space="0" w:color="auto"/>
        <w:bottom w:val="none" w:sz="0" w:space="0" w:color="auto"/>
        <w:right w:val="none" w:sz="0" w:space="0" w:color="auto"/>
      </w:divBdr>
    </w:div>
    <w:div w:id="630405371">
      <w:bodyDiv w:val="1"/>
      <w:marLeft w:val="0"/>
      <w:marRight w:val="0"/>
      <w:marTop w:val="0"/>
      <w:marBottom w:val="0"/>
      <w:divBdr>
        <w:top w:val="none" w:sz="0" w:space="0" w:color="auto"/>
        <w:left w:val="none" w:sz="0" w:space="0" w:color="auto"/>
        <w:bottom w:val="none" w:sz="0" w:space="0" w:color="auto"/>
        <w:right w:val="none" w:sz="0" w:space="0" w:color="auto"/>
      </w:divBdr>
    </w:div>
    <w:div w:id="679551152">
      <w:bodyDiv w:val="1"/>
      <w:marLeft w:val="0"/>
      <w:marRight w:val="0"/>
      <w:marTop w:val="0"/>
      <w:marBottom w:val="0"/>
      <w:divBdr>
        <w:top w:val="none" w:sz="0" w:space="0" w:color="auto"/>
        <w:left w:val="none" w:sz="0" w:space="0" w:color="auto"/>
        <w:bottom w:val="none" w:sz="0" w:space="0" w:color="auto"/>
        <w:right w:val="none" w:sz="0" w:space="0" w:color="auto"/>
      </w:divBdr>
    </w:div>
    <w:div w:id="694228711">
      <w:bodyDiv w:val="1"/>
      <w:marLeft w:val="0"/>
      <w:marRight w:val="0"/>
      <w:marTop w:val="0"/>
      <w:marBottom w:val="0"/>
      <w:divBdr>
        <w:top w:val="none" w:sz="0" w:space="0" w:color="auto"/>
        <w:left w:val="none" w:sz="0" w:space="0" w:color="auto"/>
        <w:bottom w:val="none" w:sz="0" w:space="0" w:color="auto"/>
        <w:right w:val="none" w:sz="0" w:space="0" w:color="auto"/>
      </w:divBdr>
    </w:div>
    <w:div w:id="761952101">
      <w:bodyDiv w:val="1"/>
      <w:marLeft w:val="0"/>
      <w:marRight w:val="0"/>
      <w:marTop w:val="0"/>
      <w:marBottom w:val="0"/>
      <w:divBdr>
        <w:top w:val="none" w:sz="0" w:space="0" w:color="auto"/>
        <w:left w:val="none" w:sz="0" w:space="0" w:color="auto"/>
        <w:bottom w:val="none" w:sz="0" w:space="0" w:color="auto"/>
        <w:right w:val="none" w:sz="0" w:space="0" w:color="auto"/>
      </w:divBdr>
    </w:div>
    <w:div w:id="763722051">
      <w:bodyDiv w:val="1"/>
      <w:marLeft w:val="0"/>
      <w:marRight w:val="0"/>
      <w:marTop w:val="0"/>
      <w:marBottom w:val="0"/>
      <w:divBdr>
        <w:top w:val="none" w:sz="0" w:space="0" w:color="auto"/>
        <w:left w:val="none" w:sz="0" w:space="0" w:color="auto"/>
        <w:bottom w:val="none" w:sz="0" w:space="0" w:color="auto"/>
        <w:right w:val="none" w:sz="0" w:space="0" w:color="auto"/>
      </w:divBdr>
    </w:div>
    <w:div w:id="773403183">
      <w:bodyDiv w:val="1"/>
      <w:marLeft w:val="0"/>
      <w:marRight w:val="0"/>
      <w:marTop w:val="0"/>
      <w:marBottom w:val="0"/>
      <w:divBdr>
        <w:top w:val="none" w:sz="0" w:space="0" w:color="auto"/>
        <w:left w:val="none" w:sz="0" w:space="0" w:color="auto"/>
        <w:bottom w:val="none" w:sz="0" w:space="0" w:color="auto"/>
        <w:right w:val="none" w:sz="0" w:space="0" w:color="auto"/>
      </w:divBdr>
      <w:divsChild>
        <w:div w:id="1197813107">
          <w:marLeft w:val="0"/>
          <w:marRight w:val="0"/>
          <w:marTop w:val="0"/>
          <w:marBottom w:val="0"/>
          <w:divBdr>
            <w:top w:val="none" w:sz="0" w:space="0" w:color="auto"/>
            <w:left w:val="none" w:sz="0" w:space="0" w:color="auto"/>
            <w:bottom w:val="none" w:sz="0" w:space="0" w:color="auto"/>
            <w:right w:val="none" w:sz="0" w:space="0" w:color="auto"/>
          </w:divBdr>
        </w:div>
      </w:divsChild>
    </w:div>
    <w:div w:id="781805795">
      <w:bodyDiv w:val="1"/>
      <w:marLeft w:val="0"/>
      <w:marRight w:val="0"/>
      <w:marTop w:val="0"/>
      <w:marBottom w:val="0"/>
      <w:divBdr>
        <w:top w:val="none" w:sz="0" w:space="0" w:color="auto"/>
        <w:left w:val="none" w:sz="0" w:space="0" w:color="auto"/>
        <w:bottom w:val="none" w:sz="0" w:space="0" w:color="auto"/>
        <w:right w:val="none" w:sz="0" w:space="0" w:color="auto"/>
      </w:divBdr>
    </w:div>
    <w:div w:id="793061349">
      <w:bodyDiv w:val="1"/>
      <w:marLeft w:val="0"/>
      <w:marRight w:val="0"/>
      <w:marTop w:val="0"/>
      <w:marBottom w:val="0"/>
      <w:divBdr>
        <w:top w:val="none" w:sz="0" w:space="0" w:color="auto"/>
        <w:left w:val="none" w:sz="0" w:space="0" w:color="auto"/>
        <w:bottom w:val="none" w:sz="0" w:space="0" w:color="auto"/>
        <w:right w:val="none" w:sz="0" w:space="0" w:color="auto"/>
      </w:divBdr>
      <w:divsChild>
        <w:div w:id="1568800772">
          <w:marLeft w:val="0"/>
          <w:marRight w:val="0"/>
          <w:marTop w:val="0"/>
          <w:marBottom w:val="0"/>
          <w:divBdr>
            <w:top w:val="none" w:sz="0" w:space="0" w:color="auto"/>
            <w:left w:val="none" w:sz="0" w:space="0" w:color="auto"/>
            <w:bottom w:val="none" w:sz="0" w:space="0" w:color="auto"/>
            <w:right w:val="none" w:sz="0" w:space="0" w:color="auto"/>
          </w:divBdr>
        </w:div>
      </w:divsChild>
    </w:div>
    <w:div w:id="817847547">
      <w:bodyDiv w:val="1"/>
      <w:marLeft w:val="0"/>
      <w:marRight w:val="0"/>
      <w:marTop w:val="0"/>
      <w:marBottom w:val="0"/>
      <w:divBdr>
        <w:top w:val="none" w:sz="0" w:space="0" w:color="auto"/>
        <w:left w:val="none" w:sz="0" w:space="0" w:color="auto"/>
        <w:bottom w:val="none" w:sz="0" w:space="0" w:color="auto"/>
        <w:right w:val="none" w:sz="0" w:space="0" w:color="auto"/>
      </w:divBdr>
    </w:div>
    <w:div w:id="840657915">
      <w:bodyDiv w:val="1"/>
      <w:marLeft w:val="0"/>
      <w:marRight w:val="0"/>
      <w:marTop w:val="0"/>
      <w:marBottom w:val="0"/>
      <w:divBdr>
        <w:top w:val="none" w:sz="0" w:space="0" w:color="auto"/>
        <w:left w:val="none" w:sz="0" w:space="0" w:color="auto"/>
        <w:bottom w:val="none" w:sz="0" w:space="0" w:color="auto"/>
        <w:right w:val="none" w:sz="0" w:space="0" w:color="auto"/>
      </w:divBdr>
    </w:div>
    <w:div w:id="974945789">
      <w:bodyDiv w:val="1"/>
      <w:marLeft w:val="0"/>
      <w:marRight w:val="0"/>
      <w:marTop w:val="0"/>
      <w:marBottom w:val="0"/>
      <w:divBdr>
        <w:top w:val="none" w:sz="0" w:space="0" w:color="auto"/>
        <w:left w:val="none" w:sz="0" w:space="0" w:color="auto"/>
        <w:bottom w:val="none" w:sz="0" w:space="0" w:color="auto"/>
        <w:right w:val="none" w:sz="0" w:space="0" w:color="auto"/>
      </w:divBdr>
    </w:div>
    <w:div w:id="1000893393">
      <w:bodyDiv w:val="1"/>
      <w:marLeft w:val="0"/>
      <w:marRight w:val="0"/>
      <w:marTop w:val="0"/>
      <w:marBottom w:val="0"/>
      <w:divBdr>
        <w:top w:val="none" w:sz="0" w:space="0" w:color="auto"/>
        <w:left w:val="none" w:sz="0" w:space="0" w:color="auto"/>
        <w:bottom w:val="none" w:sz="0" w:space="0" w:color="auto"/>
        <w:right w:val="none" w:sz="0" w:space="0" w:color="auto"/>
      </w:divBdr>
    </w:div>
    <w:div w:id="1077359555">
      <w:bodyDiv w:val="1"/>
      <w:marLeft w:val="0"/>
      <w:marRight w:val="0"/>
      <w:marTop w:val="0"/>
      <w:marBottom w:val="0"/>
      <w:divBdr>
        <w:top w:val="none" w:sz="0" w:space="0" w:color="auto"/>
        <w:left w:val="none" w:sz="0" w:space="0" w:color="auto"/>
        <w:bottom w:val="none" w:sz="0" w:space="0" w:color="auto"/>
        <w:right w:val="none" w:sz="0" w:space="0" w:color="auto"/>
      </w:divBdr>
    </w:div>
    <w:div w:id="1146969995">
      <w:bodyDiv w:val="1"/>
      <w:marLeft w:val="0"/>
      <w:marRight w:val="0"/>
      <w:marTop w:val="0"/>
      <w:marBottom w:val="0"/>
      <w:divBdr>
        <w:top w:val="none" w:sz="0" w:space="0" w:color="auto"/>
        <w:left w:val="none" w:sz="0" w:space="0" w:color="auto"/>
        <w:bottom w:val="none" w:sz="0" w:space="0" w:color="auto"/>
        <w:right w:val="none" w:sz="0" w:space="0" w:color="auto"/>
      </w:divBdr>
    </w:div>
    <w:div w:id="1152720554">
      <w:bodyDiv w:val="1"/>
      <w:marLeft w:val="0"/>
      <w:marRight w:val="0"/>
      <w:marTop w:val="0"/>
      <w:marBottom w:val="0"/>
      <w:divBdr>
        <w:top w:val="none" w:sz="0" w:space="0" w:color="auto"/>
        <w:left w:val="none" w:sz="0" w:space="0" w:color="auto"/>
        <w:bottom w:val="none" w:sz="0" w:space="0" w:color="auto"/>
        <w:right w:val="none" w:sz="0" w:space="0" w:color="auto"/>
      </w:divBdr>
    </w:div>
    <w:div w:id="1212381827">
      <w:bodyDiv w:val="1"/>
      <w:marLeft w:val="0"/>
      <w:marRight w:val="0"/>
      <w:marTop w:val="0"/>
      <w:marBottom w:val="0"/>
      <w:divBdr>
        <w:top w:val="none" w:sz="0" w:space="0" w:color="auto"/>
        <w:left w:val="none" w:sz="0" w:space="0" w:color="auto"/>
        <w:bottom w:val="none" w:sz="0" w:space="0" w:color="auto"/>
        <w:right w:val="none" w:sz="0" w:space="0" w:color="auto"/>
      </w:divBdr>
    </w:div>
    <w:div w:id="1221592634">
      <w:bodyDiv w:val="1"/>
      <w:marLeft w:val="0"/>
      <w:marRight w:val="0"/>
      <w:marTop w:val="0"/>
      <w:marBottom w:val="0"/>
      <w:divBdr>
        <w:top w:val="none" w:sz="0" w:space="0" w:color="auto"/>
        <w:left w:val="none" w:sz="0" w:space="0" w:color="auto"/>
        <w:bottom w:val="none" w:sz="0" w:space="0" w:color="auto"/>
        <w:right w:val="none" w:sz="0" w:space="0" w:color="auto"/>
      </w:divBdr>
    </w:div>
    <w:div w:id="1252932944">
      <w:bodyDiv w:val="1"/>
      <w:marLeft w:val="0"/>
      <w:marRight w:val="0"/>
      <w:marTop w:val="0"/>
      <w:marBottom w:val="0"/>
      <w:divBdr>
        <w:top w:val="none" w:sz="0" w:space="0" w:color="auto"/>
        <w:left w:val="none" w:sz="0" w:space="0" w:color="auto"/>
        <w:bottom w:val="none" w:sz="0" w:space="0" w:color="auto"/>
        <w:right w:val="none" w:sz="0" w:space="0" w:color="auto"/>
      </w:divBdr>
    </w:div>
    <w:div w:id="1266839363">
      <w:bodyDiv w:val="1"/>
      <w:marLeft w:val="0"/>
      <w:marRight w:val="0"/>
      <w:marTop w:val="0"/>
      <w:marBottom w:val="0"/>
      <w:divBdr>
        <w:top w:val="none" w:sz="0" w:space="0" w:color="auto"/>
        <w:left w:val="none" w:sz="0" w:space="0" w:color="auto"/>
        <w:bottom w:val="none" w:sz="0" w:space="0" w:color="auto"/>
        <w:right w:val="none" w:sz="0" w:space="0" w:color="auto"/>
      </w:divBdr>
    </w:div>
    <w:div w:id="1285236863">
      <w:bodyDiv w:val="1"/>
      <w:marLeft w:val="0"/>
      <w:marRight w:val="0"/>
      <w:marTop w:val="0"/>
      <w:marBottom w:val="0"/>
      <w:divBdr>
        <w:top w:val="none" w:sz="0" w:space="0" w:color="auto"/>
        <w:left w:val="none" w:sz="0" w:space="0" w:color="auto"/>
        <w:bottom w:val="none" w:sz="0" w:space="0" w:color="auto"/>
        <w:right w:val="none" w:sz="0" w:space="0" w:color="auto"/>
      </w:divBdr>
    </w:div>
    <w:div w:id="1384789942">
      <w:bodyDiv w:val="1"/>
      <w:marLeft w:val="0"/>
      <w:marRight w:val="0"/>
      <w:marTop w:val="0"/>
      <w:marBottom w:val="0"/>
      <w:divBdr>
        <w:top w:val="none" w:sz="0" w:space="0" w:color="auto"/>
        <w:left w:val="none" w:sz="0" w:space="0" w:color="auto"/>
        <w:bottom w:val="none" w:sz="0" w:space="0" w:color="auto"/>
        <w:right w:val="none" w:sz="0" w:space="0" w:color="auto"/>
      </w:divBdr>
    </w:div>
    <w:div w:id="1393964560">
      <w:bodyDiv w:val="1"/>
      <w:marLeft w:val="0"/>
      <w:marRight w:val="0"/>
      <w:marTop w:val="0"/>
      <w:marBottom w:val="0"/>
      <w:divBdr>
        <w:top w:val="none" w:sz="0" w:space="0" w:color="auto"/>
        <w:left w:val="none" w:sz="0" w:space="0" w:color="auto"/>
        <w:bottom w:val="none" w:sz="0" w:space="0" w:color="auto"/>
        <w:right w:val="none" w:sz="0" w:space="0" w:color="auto"/>
      </w:divBdr>
    </w:div>
    <w:div w:id="1452242122">
      <w:bodyDiv w:val="1"/>
      <w:marLeft w:val="0"/>
      <w:marRight w:val="0"/>
      <w:marTop w:val="0"/>
      <w:marBottom w:val="0"/>
      <w:divBdr>
        <w:top w:val="none" w:sz="0" w:space="0" w:color="auto"/>
        <w:left w:val="none" w:sz="0" w:space="0" w:color="auto"/>
        <w:bottom w:val="none" w:sz="0" w:space="0" w:color="auto"/>
        <w:right w:val="none" w:sz="0" w:space="0" w:color="auto"/>
      </w:divBdr>
    </w:div>
    <w:div w:id="1486513535">
      <w:bodyDiv w:val="1"/>
      <w:marLeft w:val="0"/>
      <w:marRight w:val="0"/>
      <w:marTop w:val="0"/>
      <w:marBottom w:val="0"/>
      <w:divBdr>
        <w:top w:val="none" w:sz="0" w:space="0" w:color="auto"/>
        <w:left w:val="none" w:sz="0" w:space="0" w:color="auto"/>
        <w:bottom w:val="none" w:sz="0" w:space="0" w:color="auto"/>
        <w:right w:val="none" w:sz="0" w:space="0" w:color="auto"/>
      </w:divBdr>
    </w:div>
    <w:div w:id="1489588246">
      <w:bodyDiv w:val="1"/>
      <w:marLeft w:val="0"/>
      <w:marRight w:val="0"/>
      <w:marTop w:val="0"/>
      <w:marBottom w:val="0"/>
      <w:divBdr>
        <w:top w:val="none" w:sz="0" w:space="0" w:color="auto"/>
        <w:left w:val="none" w:sz="0" w:space="0" w:color="auto"/>
        <w:bottom w:val="none" w:sz="0" w:space="0" w:color="auto"/>
        <w:right w:val="none" w:sz="0" w:space="0" w:color="auto"/>
      </w:divBdr>
    </w:div>
    <w:div w:id="1532063007">
      <w:bodyDiv w:val="1"/>
      <w:marLeft w:val="0"/>
      <w:marRight w:val="0"/>
      <w:marTop w:val="0"/>
      <w:marBottom w:val="0"/>
      <w:divBdr>
        <w:top w:val="none" w:sz="0" w:space="0" w:color="auto"/>
        <w:left w:val="none" w:sz="0" w:space="0" w:color="auto"/>
        <w:bottom w:val="none" w:sz="0" w:space="0" w:color="auto"/>
        <w:right w:val="none" w:sz="0" w:space="0" w:color="auto"/>
      </w:divBdr>
    </w:div>
    <w:div w:id="1576746554">
      <w:bodyDiv w:val="1"/>
      <w:marLeft w:val="0"/>
      <w:marRight w:val="0"/>
      <w:marTop w:val="0"/>
      <w:marBottom w:val="0"/>
      <w:divBdr>
        <w:top w:val="none" w:sz="0" w:space="0" w:color="auto"/>
        <w:left w:val="none" w:sz="0" w:space="0" w:color="auto"/>
        <w:bottom w:val="none" w:sz="0" w:space="0" w:color="auto"/>
        <w:right w:val="none" w:sz="0" w:space="0" w:color="auto"/>
      </w:divBdr>
    </w:div>
    <w:div w:id="1655066124">
      <w:bodyDiv w:val="1"/>
      <w:marLeft w:val="0"/>
      <w:marRight w:val="0"/>
      <w:marTop w:val="0"/>
      <w:marBottom w:val="0"/>
      <w:divBdr>
        <w:top w:val="none" w:sz="0" w:space="0" w:color="auto"/>
        <w:left w:val="none" w:sz="0" w:space="0" w:color="auto"/>
        <w:bottom w:val="none" w:sz="0" w:space="0" w:color="auto"/>
        <w:right w:val="none" w:sz="0" w:space="0" w:color="auto"/>
      </w:divBdr>
    </w:div>
    <w:div w:id="1691489583">
      <w:bodyDiv w:val="1"/>
      <w:marLeft w:val="0"/>
      <w:marRight w:val="0"/>
      <w:marTop w:val="0"/>
      <w:marBottom w:val="0"/>
      <w:divBdr>
        <w:top w:val="none" w:sz="0" w:space="0" w:color="auto"/>
        <w:left w:val="none" w:sz="0" w:space="0" w:color="auto"/>
        <w:bottom w:val="none" w:sz="0" w:space="0" w:color="auto"/>
        <w:right w:val="none" w:sz="0" w:space="0" w:color="auto"/>
      </w:divBdr>
    </w:div>
    <w:div w:id="1730299072">
      <w:bodyDiv w:val="1"/>
      <w:marLeft w:val="0"/>
      <w:marRight w:val="0"/>
      <w:marTop w:val="0"/>
      <w:marBottom w:val="0"/>
      <w:divBdr>
        <w:top w:val="none" w:sz="0" w:space="0" w:color="auto"/>
        <w:left w:val="none" w:sz="0" w:space="0" w:color="auto"/>
        <w:bottom w:val="none" w:sz="0" w:space="0" w:color="auto"/>
        <w:right w:val="none" w:sz="0" w:space="0" w:color="auto"/>
      </w:divBdr>
    </w:div>
    <w:div w:id="1731659306">
      <w:bodyDiv w:val="1"/>
      <w:marLeft w:val="0"/>
      <w:marRight w:val="0"/>
      <w:marTop w:val="0"/>
      <w:marBottom w:val="0"/>
      <w:divBdr>
        <w:top w:val="none" w:sz="0" w:space="0" w:color="auto"/>
        <w:left w:val="none" w:sz="0" w:space="0" w:color="auto"/>
        <w:bottom w:val="none" w:sz="0" w:space="0" w:color="auto"/>
        <w:right w:val="none" w:sz="0" w:space="0" w:color="auto"/>
      </w:divBdr>
    </w:div>
    <w:div w:id="1764954837">
      <w:bodyDiv w:val="1"/>
      <w:marLeft w:val="0"/>
      <w:marRight w:val="0"/>
      <w:marTop w:val="0"/>
      <w:marBottom w:val="0"/>
      <w:divBdr>
        <w:top w:val="none" w:sz="0" w:space="0" w:color="auto"/>
        <w:left w:val="none" w:sz="0" w:space="0" w:color="auto"/>
        <w:bottom w:val="none" w:sz="0" w:space="0" w:color="auto"/>
        <w:right w:val="none" w:sz="0" w:space="0" w:color="auto"/>
      </w:divBdr>
    </w:div>
    <w:div w:id="1771588533">
      <w:bodyDiv w:val="1"/>
      <w:marLeft w:val="0"/>
      <w:marRight w:val="0"/>
      <w:marTop w:val="0"/>
      <w:marBottom w:val="0"/>
      <w:divBdr>
        <w:top w:val="none" w:sz="0" w:space="0" w:color="auto"/>
        <w:left w:val="none" w:sz="0" w:space="0" w:color="auto"/>
        <w:bottom w:val="none" w:sz="0" w:space="0" w:color="auto"/>
        <w:right w:val="none" w:sz="0" w:space="0" w:color="auto"/>
      </w:divBdr>
    </w:div>
    <w:div w:id="1773352498">
      <w:bodyDiv w:val="1"/>
      <w:marLeft w:val="0"/>
      <w:marRight w:val="0"/>
      <w:marTop w:val="0"/>
      <w:marBottom w:val="0"/>
      <w:divBdr>
        <w:top w:val="none" w:sz="0" w:space="0" w:color="auto"/>
        <w:left w:val="none" w:sz="0" w:space="0" w:color="auto"/>
        <w:bottom w:val="none" w:sz="0" w:space="0" w:color="auto"/>
        <w:right w:val="none" w:sz="0" w:space="0" w:color="auto"/>
      </w:divBdr>
    </w:div>
    <w:div w:id="1783527591">
      <w:bodyDiv w:val="1"/>
      <w:marLeft w:val="0"/>
      <w:marRight w:val="0"/>
      <w:marTop w:val="0"/>
      <w:marBottom w:val="0"/>
      <w:divBdr>
        <w:top w:val="none" w:sz="0" w:space="0" w:color="auto"/>
        <w:left w:val="none" w:sz="0" w:space="0" w:color="auto"/>
        <w:bottom w:val="none" w:sz="0" w:space="0" w:color="auto"/>
        <w:right w:val="none" w:sz="0" w:space="0" w:color="auto"/>
      </w:divBdr>
    </w:div>
    <w:div w:id="1798260658">
      <w:bodyDiv w:val="1"/>
      <w:marLeft w:val="0"/>
      <w:marRight w:val="0"/>
      <w:marTop w:val="0"/>
      <w:marBottom w:val="0"/>
      <w:divBdr>
        <w:top w:val="none" w:sz="0" w:space="0" w:color="auto"/>
        <w:left w:val="none" w:sz="0" w:space="0" w:color="auto"/>
        <w:bottom w:val="none" w:sz="0" w:space="0" w:color="auto"/>
        <w:right w:val="none" w:sz="0" w:space="0" w:color="auto"/>
      </w:divBdr>
    </w:div>
    <w:div w:id="1845508937">
      <w:bodyDiv w:val="1"/>
      <w:marLeft w:val="0"/>
      <w:marRight w:val="0"/>
      <w:marTop w:val="0"/>
      <w:marBottom w:val="0"/>
      <w:divBdr>
        <w:top w:val="none" w:sz="0" w:space="0" w:color="auto"/>
        <w:left w:val="none" w:sz="0" w:space="0" w:color="auto"/>
        <w:bottom w:val="none" w:sz="0" w:space="0" w:color="auto"/>
        <w:right w:val="none" w:sz="0" w:space="0" w:color="auto"/>
      </w:divBdr>
    </w:div>
    <w:div w:id="1849101692">
      <w:bodyDiv w:val="1"/>
      <w:marLeft w:val="0"/>
      <w:marRight w:val="0"/>
      <w:marTop w:val="0"/>
      <w:marBottom w:val="0"/>
      <w:divBdr>
        <w:top w:val="none" w:sz="0" w:space="0" w:color="auto"/>
        <w:left w:val="none" w:sz="0" w:space="0" w:color="auto"/>
        <w:bottom w:val="none" w:sz="0" w:space="0" w:color="auto"/>
        <w:right w:val="none" w:sz="0" w:space="0" w:color="auto"/>
      </w:divBdr>
    </w:div>
    <w:div w:id="1860467116">
      <w:bodyDiv w:val="1"/>
      <w:marLeft w:val="0"/>
      <w:marRight w:val="0"/>
      <w:marTop w:val="0"/>
      <w:marBottom w:val="0"/>
      <w:divBdr>
        <w:top w:val="none" w:sz="0" w:space="0" w:color="auto"/>
        <w:left w:val="none" w:sz="0" w:space="0" w:color="auto"/>
        <w:bottom w:val="none" w:sz="0" w:space="0" w:color="auto"/>
        <w:right w:val="none" w:sz="0" w:space="0" w:color="auto"/>
      </w:divBdr>
    </w:div>
    <w:div w:id="1875921963">
      <w:bodyDiv w:val="1"/>
      <w:marLeft w:val="0"/>
      <w:marRight w:val="0"/>
      <w:marTop w:val="0"/>
      <w:marBottom w:val="0"/>
      <w:divBdr>
        <w:top w:val="none" w:sz="0" w:space="0" w:color="auto"/>
        <w:left w:val="none" w:sz="0" w:space="0" w:color="auto"/>
        <w:bottom w:val="none" w:sz="0" w:space="0" w:color="auto"/>
        <w:right w:val="none" w:sz="0" w:space="0" w:color="auto"/>
      </w:divBdr>
      <w:divsChild>
        <w:div w:id="594477926">
          <w:marLeft w:val="0"/>
          <w:marRight w:val="0"/>
          <w:marTop w:val="0"/>
          <w:marBottom w:val="0"/>
          <w:divBdr>
            <w:top w:val="none" w:sz="0" w:space="0" w:color="auto"/>
            <w:left w:val="none" w:sz="0" w:space="0" w:color="auto"/>
            <w:bottom w:val="none" w:sz="0" w:space="0" w:color="auto"/>
            <w:right w:val="none" w:sz="0" w:space="0" w:color="auto"/>
          </w:divBdr>
        </w:div>
      </w:divsChild>
    </w:div>
    <w:div w:id="1884176193">
      <w:bodyDiv w:val="1"/>
      <w:marLeft w:val="0"/>
      <w:marRight w:val="0"/>
      <w:marTop w:val="0"/>
      <w:marBottom w:val="0"/>
      <w:divBdr>
        <w:top w:val="none" w:sz="0" w:space="0" w:color="auto"/>
        <w:left w:val="none" w:sz="0" w:space="0" w:color="auto"/>
        <w:bottom w:val="none" w:sz="0" w:space="0" w:color="auto"/>
        <w:right w:val="none" w:sz="0" w:space="0" w:color="auto"/>
      </w:divBdr>
    </w:div>
    <w:div w:id="1978223170">
      <w:bodyDiv w:val="1"/>
      <w:marLeft w:val="0"/>
      <w:marRight w:val="0"/>
      <w:marTop w:val="0"/>
      <w:marBottom w:val="0"/>
      <w:divBdr>
        <w:top w:val="none" w:sz="0" w:space="0" w:color="auto"/>
        <w:left w:val="none" w:sz="0" w:space="0" w:color="auto"/>
        <w:bottom w:val="none" w:sz="0" w:space="0" w:color="auto"/>
        <w:right w:val="none" w:sz="0" w:space="0" w:color="auto"/>
      </w:divBdr>
    </w:div>
    <w:div w:id="2004048334">
      <w:bodyDiv w:val="1"/>
      <w:marLeft w:val="0"/>
      <w:marRight w:val="0"/>
      <w:marTop w:val="0"/>
      <w:marBottom w:val="0"/>
      <w:divBdr>
        <w:top w:val="none" w:sz="0" w:space="0" w:color="auto"/>
        <w:left w:val="none" w:sz="0" w:space="0" w:color="auto"/>
        <w:bottom w:val="none" w:sz="0" w:space="0" w:color="auto"/>
        <w:right w:val="none" w:sz="0" w:space="0" w:color="auto"/>
      </w:divBdr>
    </w:div>
    <w:div w:id="2024428614">
      <w:bodyDiv w:val="1"/>
      <w:marLeft w:val="0"/>
      <w:marRight w:val="0"/>
      <w:marTop w:val="0"/>
      <w:marBottom w:val="0"/>
      <w:divBdr>
        <w:top w:val="none" w:sz="0" w:space="0" w:color="auto"/>
        <w:left w:val="none" w:sz="0" w:space="0" w:color="auto"/>
        <w:bottom w:val="none" w:sz="0" w:space="0" w:color="auto"/>
        <w:right w:val="none" w:sz="0" w:space="0" w:color="auto"/>
      </w:divBdr>
    </w:div>
    <w:div w:id="2040230592">
      <w:bodyDiv w:val="1"/>
      <w:marLeft w:val="0"/>
      <w:marRight w:val="0"/>
      <w:marTop w:val="0"/>
      <w:marBottom w:val="0"/>
      <w:divBdr>
        <w:top w:val="none" w:sz="0" w:space="0" w:color="auto"/>
        <w:left w:val="none" w:sz="0" w:space="0" w:color="auto"/>
        <w:bottom w:val="none" w:sz="0" w:space="0" w:color="auto"/>
        <w:right w:val="none" w:sz="0" w:space="0" w:color="auto"/>
      </w:divBdr>
    </w:div>
    <w:div w:id="2073695158">
      <w:bodyDiv w:val="1"/>
      <w:marLeft w:val="0"/>
      <w:marRight w:val="0"/>
      <w:marTop w:val="0"/>
      <w:marBottom w:val="0"/>
      <w:divBdr>
        <w:top w:val="none" w:sz="0" w:space="0" w:color="auto"/>
        <w:left w:val="none" w:sz="0" w:space="0" w:color="auto"/>
        <w:bottom w:val="none" w:sz="0" w:space="0" w:color="auto"/>
        <w:right w:val="none" w:sz="0" w:space="0" w:color="auto"/>
      </w:divBdr>
    </w:div>
    <w:div w:id="2079092715">
      <w:bodyDiv w:val="1"/>
      <w:marLeft w:val="0"/>
      <w:marRight w:val="0"/>
      <w:marTop w:val="0"/>
      <w:marBottom w:val="0"/>
      <w:divBdr>
        <w:top w:val="none" w:sz="0" w:space="0" w:color="auto"/>
        <w:left w:val="none" w:sz="0" w:space="0" w:color="auto"/>
        <w:bottom w:val="none" w:sz="0" w:space="0" w:color="auto"/>
        <w:right w:val="none" w:sz="0" w:space="0" w:color="auto"/>
      </w:divBdr>
    </w:div>
    <w:div w:id="2092434392">
      <w:bodyDiv w:val="1"/>
      <w:marLeft w:val="0"/>
      <w:marRight w:val="0"/>
      <w:marTop w:val="0"/>
      <w:marBottom w:val="0"/>
      <w:divBdr>
        <w:top w:val="none" w:sz="0" w:space="0" w:color="auto"/>
        <w:left w:val="none" w:sz="0" w:space="0" w:color="auto"/>
        <w:bottom w:val="none" w:sz="0" w:space="0" w:color="auto"/>
        <w:right w:val="none" w:sz="0" w:space="0" w:color="auto"/>
      </w:divBdr>
    </w:div>
    <w:div w:id="2099908729">
      <w:bodyDiv w:val="1"/>
      <w:marLeft w:val="0"/>
      <w:marRight w:val="0"/>
      <w:marTop w:val="0"/>
      <w:marBottom w:val="0"/>
      <w:divBdr>
        <w:top w:val="none" w:sz="0" w:space="0" w:color="auto"/>
        <w:left w:val="none" w:sz="0" w:space="0" w:color="auto"/>
        <w:bottom w:val="none" w:sz="0" w:space="0" w:color="auto"/>
        <w:right w:val="none" w:sz="0" w:space="0" w:color="auto"/>
      </w:divBdr>
    </w:div>
    <w:div w:id="2118406498">
      <w:bodyDiv w:val="1"/>
      <w:marLeft w:val="0"/>
      <w:marRight w:val="0"/>
      <w:marTop w:val="0"/>
      <w:marBottom w:val="0"/>
      <w:divBdr>
        <w:top w:val="none" w:sz="0" w:space="0" w:color="auto"/>
        <w:left w:val="none" w:sz="0" w:space="0" w:color="auto"/>
        <w:bottom w:val="none" w:sz="0" w:space="0" w:color="auto"/>
        <w:right w:val="none" w:sz="0" w:space="0" w:color="auto"/>
      </w:divBdr>
    </w:div>
    <w:div w:id="214233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Eur19</b:Tag>
    <b:SourceType>InternetSite</b:SourceType>
    <b:Guid>{2B8F00C4-FBB5-407B-B2EE-0ACDC1386B2A}</b:Guid>
    <b:Author>
      <b:Author>
        <b:Corporate>European Commission</b:Corporate>
      </b:Author>
    </b:Author>
    <b:Title>Clean energy for all europeans package</b:Title>
    <b:Year>2019</b:Year>
    <b:URL>https://energy.ec.europa.eu/topics/energy-strategy/clean-energy-all-europeans-package_en</b:URL>
    <b:RefOrder>1</b:RefOrder>
  </b:Source>
  <b:Source>
    <b:Tag>Eur18</b:Tag>
    <b:SourceType>InternetSite</b:SourceType>
    <b:Guid>{2AF789A4-3E5E-4E07-A521-948736E7EF2B}</b:Guid>
    <b:Author>
      <b:Author>
        <b:Corporate>European Commission</b:Corporate>
      </b:Author>
    </b:Author>
    <b:Title>DIRECTIVE (EU) 2018/2001 OF THE EUROPEAN PARLIAMENTAND OF THE COUNCIL of 11 December 2018 on the promotion of the use of energy from renewable sources (recast), Official Journal of the European Union 2018</b:Title>
    <b:Year>2018</b:Year>
    <b:URL>https://eur-lex.europa.eu/legal-content/EN/TXT/PDF/?uri=CELEX:32018L2001</b:URL>
    <b:RefOrder>2</b:RefOrder>
  </b:Source>
  <b:Source>
    <b:Tag>Eur191</b:Tag>
    <b:SourceType>InternetSite</b:SourceType>
    <b:Guid>{E39BAA19-44F0-409E-8D02-CEDC653EEEE3}</b:Guid>
    <b:Author>
      <b:Author>
        <b:Corporate>European Commission</b:Corporate>
      </b:Author>
    </b:Author>
    <b:Title>DIRECTIVE (EU) 2019/944 OF THE EUROPEAN PARLIAMENT AND OF THE COUNCIL of 5 June 2019 on common rules for the internal market for electricity and amending Directive 2012/27/EU (recast), Official Journal of the European Union</b:Title>
    <b:Year>2019</b:Year>
    <b:URL>https://eur-lex.europa.eu/legal-content/EN/TXT/PDF/?uri=CELEX:32019L0944&amp;from=EN</b:URL>
    <b:RefOrder>3</b:RefOrder>
  </b:Source>
  <b:Source>
    <b:Tag>Bun</b:Tag>
    <b:SourceType>InternetSite</b:SourceType>
    <b:Guid>{D783EB7A-7691-4CEC-8504-873ECA8EAED5}</b:Guid>
    <b:Author>
      <b:Author>
        <b:Corporate>Bundesgesetz über den Ausbau von Energie aus erneuerbaren Quellen (Erneuerbaren-Ausbau-Gesetz – EAG)</b:Corporate>
      </b:Author>
    </b:Author>
    <b:URL>https://www.ris.bka.gv.at/Dokumente/Erv/ERV_2021_1_150/ERV_2021_1_150.html </b:URL>
    <b:RefOrder>4</b:RefOrder>
  </b:Source>
  <b:Source>
    <b:Tag>Bun1</b:Tag>
    <b:SourceType>InternetSite</b:SourceType>
    <b:Guid>{51E5FBE0-6835-438D-888E-A71CF3404184}</b:Guid>
    <b:Author>
      <b:Author>
        <b:Corporate>Bundesgesetz, mit dem die Organisation auf dem Gebiet der Elektrizitätswirtschaft neu geregelt wird (Elektrizitätswirtschafts- und –organisationsgesetz 2010 – EIWOG 2010)</b:Corporate>
      </b:Author>
    </b:Author>
    <b:URL>https://www.ris.bka.gv.at/Dokumente/Erv/ERV_2010_1_110/ERV_2010_1_110.html </b:URL>
    <b:RefOrder>5</b:RefOrder>
  </b:Source>
  <b:Source>
    <b:Tag>Cap22</b:Tag>
    <b:SourceType>JournalArticle</b:SourceType>
    <b:Guid>{12057A31-4218-43E9-9603-59DBBD397EC7}</b:Guid>
    <b:Title>Peer-to-peer, community self-consumption, and transactive energy: A systematic literature review of local energy market models</b:Title>
    <b:Year>2022</b:Year>
    <b:Pages>112403</b:Pages>
    <b:Author>
      <b:Author>
        <b:NameList>
          <b:Person>
            <b:Last>Capper</b:Last>
            <b:First>Timothy</b:First>
          </b:Person>
          <b:Person>
            <b:Last>Gorbatcheva</b:Last>
            <b:First>Anna</b:First>
          </b:Person>
          <b:Person>
            <b:Last>A. Mustafa</b:Last>
            <b:First>Mustafa</b:First>
          </b:Person>
          <b:Person>
            <b:Last>Bahloul</b:Last>
            <b:First>Mohamed</b:First>
          </b:Person>
          <b:Person>
            <b:Last>Schwidtal</b:Last>
            <b:First>Jan</b:First>
            <b:Middle>Marc</b:Middle>
          </b:Person>
          <b:Person>
            <b:Last>Chitchyan</b:Last>
            <b:First>Ruzanna</b:First>
          </b:Person>
          <b:Person>
            <b:Last>Andoni</b:Last>
            <b:First>Merlinda</b:First>
          </b:Person>
          <b:Person>
            <b:Last>Robu</b:Last>
            <b:First>Valentina</b:First>
          </b:Person>
          <b:Person>
            <b:Last>Montakhabi</b:Last>
            <b:First>Mehdi</b:First>
          </b:Person>
          <b:Person>
            <b:Last>Scott</b:Last>
            <b:First>J.</b:First>
            <b:Middle>Ian</b:Middle>
          </b:Person>
          <b:Person>
            <b:Last>Francis</b:Last>
            <b:First>Christina</b:First>
          </b:Person>
          <b:Person>
            <b:Last>Mvabarira</b:Last>
            <b:First>Tanaka</b:First>
          </b:Person>
          <b:Person>
            <b:Last>Espana</b:Last>
            <b:First>J.</b:First>
            <b:Middle>Manuel</b:Middle>
          </b:Person>
          <b:Person>
            <b:Last>Kiesling</b:Last>
            <b:First>L.</b:First>
          </b:Person>
        </b:NameList>
      </b:Author>
    </b:Author>
    <b:JournalName>Renewable and Sustainable Energy Reviews</b:JournalName>
    <b:Volume>162</b:Volume>
    <b:DOI>https://doi.org/10.1016/j.rser.2022.112403</b:DOI>
    <b:RefOrder>10</b:RefOrder>
  </b:Source>
  <b:Source>
    <b:Tag>Per24</b:Tag>
    <b:SourceType>Misc</b:SourceType>
    <b:Guid>{13B858E4-4B4F-483B-953E-88C7345EC503}</b:Guid>
    <b:Author>
      <b:Author>
        <b:NameList>
          <b:Person>
            <b:Last>Perger</b:Last>
            <b:First>Theresia</b:First>
          </b:Person>
          <b:Person>
            <b:Last>Kalt</b:Last>
            <b:First>Gerald</b:First>
          </b:Person>
          <b:Person>
            <b:Last>Kabinger</b:Last>
            <b:First>Alexander</b:First>
          </b:Person>
          <b:Person>
            <b:Last>Materazzi-Wagner</b:Last>
            <b:First>Christine</b:First>
          </b:Person>
          <b:Person>
            <b:Last>Kaiser</b:Last>
            <b:First>Sven</b:First>
          </b:Person>
        </b:NameList>
      </b:Author>
    </b:Author>
    <b:Title>Modelle für unabhängige Aggregatoren</b:Title>
    <b:Year>2024</b:Year>
    <b:Publisher>18. Symposium Energieinnovation</b:Publisher>
    <b:URL>https://www.tugraz.at/fileadmin/user_upload/tugrazExternal/f560810f-089d-42d8-ae6d-8e82a8454ca9/files/pr/234_PR_Perger.pdf</b:URL>
    <b:RefOrder>6</b:RefOrder>
  </b:Source>
  <b:Source>
    <b:Tag>Ham22</b:Tag>
    <b:SourceType>JournalArticle</b:SourceType>
    <b:Guid>{969BCC94-867C-4AB5-BCFF-FAD03FEFD5F4}</b:Guid>
    <b:Title>Developing future retail electricity markets with a customer-centric focus</b:Title>
    <b:Year>2022</b:Year>
    <b:Author>
      <b:Author>
        <b:NameList>
          <b:Person>
            <b:Last>Hampton</b:Last>
            <b:First>Harrison</b:First>
          </b:Person>
          <b:Person>
            <b:Last>Foley</b:Last>
            <b:First>Aoife</b:First>
            <b:Middle>M.</b:Middle>
          </b:Person>
          <b:Person>
            <b:Last>Del Rio</b:Last>
            <b:First>Dylan</b:First>
            <b:Middle>Furszyfer</b:Middle>
          </b:Person>
          <b:Person>
            <b:Last>Sovacool</b:Last>
            <b:First>Benjamin</b:First>
          </b:Person>
        </b:NameList>
      </b:Author>
    </b:Author>
    <b:JournalName>Energy Policy</b:JournalName>
    <b:Pages>113147</b:Pages>
    <b:Volume>168</b:Volume>
    <b:DOI>https://doi.org/10.1016/j.enpol.2022.113147</b:DOI>
    <b:RefOrder>8</b:RefOrder>
  </b:Source>
  <b:Source>
    <b:Tag>Pai21</b:Tag>
    <b:SourceType>JournalArticle</b:SourceType>
    <b:Guid>{C08B2147-B290-42D0-B560-A4DAEC2244A5}</b:Guid>
    <b:Author>
      <b:Author>
        <b:NameList>
          <b:Person>
            <b:Last>Paiho</b:Last>
            <b:First>Satu</b:First>
          </b:Person>
          <b:Person>
            <b:Last>Kiljander</b:Last>
            <b:First>Jussi</b:First>
          </b:Person>
          <b:Person>
            <b:Last>Sarala</b:Last>
            <b:First>Roope</b:First>
          </b:Person>
          <b:Person>
            <b:Last>Siikavirta</b:Last>
            <b:First>Hanne</b:First>
          </b:Person>
          <b:Person>
            <b:Last>Kilkki</b:Last>
            <b:First>Olli</b:First>
          </b:Person>
          <b:Person>
            <b:Last>Bajpai</b:Last>
            <b:First>Arpit</b:First>
          </b:Person>
          <b:Person>
            <b:Last>Duchon</b:Last>
            <b:First>Markus</b:First>
          </b:Person>
          <b:Person>
            <b:Last>Pahl</b:Last>
            <b:First>Oliver-Marc</b:First>
          </b:Person>
          <b:Person>
            <b:Last>Würstrich</b:Last>
            <b:First>Lars</b:First>
          </b:Person>
          <b:Person>
            <b:Last>Lübben</b:Last>
            <b:First>Christian</b:First>
          </b:Person>
          <b:Person>
            <b:Last>Kirdan</b:Last>
            <b:First>Erkin</b:First>
          </b:Person>
          <b:Person>
            <b:Last>Schindler</b:Last>
            <b:First>Josef</b:First>
          </b:Person>
          <b:Person>
            <b:Last>Numminen</b:Last>
            <b:First>Jussi</b:First>
          </b:Person>
          <b:Person>
            <b:Last>Weisshaupt</b:Last>
            <b:First>Thomas</b:First>
          </b:Person>
        </b:NameList>
      </b:Author>
    </b:Author>
    <b:Title>Towards cross-commodity energy-sharing communities – A review of the market, regulatory, and technical situation</b:Title>
    <b:JournalName>Renewable and Sustainable Energy Reviews</b:JournalName>
    <b:Year>2021</b:Year>
    <b:Pages>111568</b:Pages>
    <b:Volume>151</b:Volume>
    <b:DOI>https://doi.org/10.1016/j.rser.2021.111568</b:DOI>
    <b:RefOrder>7</b:RefOrder>
  </b:Source>
  <b:Source>
    <b:Tag>Fle19</b:Tag>
    <b:SourceType>ConferenceProceedings</b:SourceType>
    <b:Guid>{A750C872-AF09-4FC5-9B33-29B1E45A4C8C}</b:Guid>
    <b:Author>
      <b:Author>
        <b:NameList>
          <b:Person>
            <b:Last>Lehmann</b:Last>
            <b:First>Nico</b:First>
          </b:Person>
          <b:Person>
            <b:Last>Huber</b:Last>
            <b:First>Julian</b:First>
          </b:Person>
          <b:Person>
            <b:Last>Kießling</b:Last>
            <b:First>Andreas</b:First>
          </b:Person>
        </b:NameList>
      </b:Author>
    </b:Author>
    <b:Title>Flexibility in the context of a cellular</b:Title>
    <b:Year>2019</b:Year>
    <b:ConferenceName>16th International Conference on the European Energy Market (EEM)</b:ConferenceName>
    <b:DOI>10.1109/EEM.2019.8916358</b:DOI>
    <b:RefOrder>9</b:RefOrder>
  </b:Source>
</b:Sources>
</file>

<file path=customXml/itemProps1.xml><?xml version="1.0" encoding="utf-8"?>
<ds:datastoreItem xmlns:ds="http://schemas.openxmlformats.org/officeDocument/2006/customXml" ds:itemID="{292448C9-25DF-4ABB-A5BA-7F980F94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7856</Characters>
  <Application>Microsoft Office Word</Application>
  <DocSecurity>0</DocSecurity>
  <Lines>99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Mariuzzo Ivan</dc:creator>
  <cp:keywords/>
  <dc:description/>
  <cp:lastModifiedBy>Mariuzzo Ivan</cp:lastModifiedBy>
  <cp:revision>39</cp:revision>
  <dcterms:created xsi:type="dcterms:W3CDTF">2025-02-21T08:42:00Z</dcterms:created>
  <dcterms:modified xsi:type="dcterms:W3CDTF">2025-02-24T12:25:00Z</dcterms:modified>
</cp:coreProperties>
</file>