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DDB2" w14:textId="77777777" w:rsidR="00302BAB" w:rsidRPr="00745A5B" w:rsidRDefault="00302BAB" w:rsidP="00745A5B">
      <w:pPr>
        <w:pStyle w:val="p1"/>
        <w:jc w:val="right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745A5B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>Energy and society</w:t>
      </w:r>
    </w:p>
    <w:p w14:paraId="6DA5C190" w14:textId="77777777" w:rsidR="00302BAB" w:rsidRPr="00745A5B" w:rsidRDefault="00302BAB" w:rsidP="00745A5B">
      <w:pPr>
        <w:pStyle w:val="p2"/>
        <w:jc w:val="right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745A5B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>e.g. acceptance and behavioural aspects of energy efficiency measures</w:t>
      </w:r>
    </w:p>
    <w:p w14:paraId="0AFFB198" w14:textId="77777777" w:rsidR="00302BAB" w:rsidRPr="00745A5B" w:rsidRDefault="00302BAB" w:rsidP="00745A5B">
      <w:pPr>
        <w:pStyle w:val="p2"/>
        <w:jc w:val="right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745A5B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>and demand response, value of energy security, etc.</w:t>
      </w:r>
    </w:p>
    <w:p w14:paraId="4826AA89" w14:textId="77777777" w:rsidR="00302BAB" w:rsidRPr="00745A5B" w:rsidRDefault="00302BAB">
      <w:pPr>
        <w:rPr>
          <w:b/>
          <w:bCs/>
          <w:color w:val="808080" w:themeColor="background1" w:themeShade="80"/>
          <w:lang w:val="en-US"/>
        </w:rPr>
      </w:pPr>
    </w:p>
    <w:p w14:paraId="1645B90E" w14:textId="77777777" w:rsidR="0014635E" w:rsidRDefault="0014635E">
      <w:pPr>
        <w:rPr>
          <w:b/>
          <w:bCs/>
          <w:lang w:val="en-US"/>
        </w:rPr>
      </w:pPr>
    </w:p>
    <w:p w14:paraId="1FB8FC01" w14:textId="77777777" w:rsidR="0014635E" w:rsidRDefault="0014635E">
      <w:pPr>
        <w:rPr>
          <w:b/>
          <w:bCs/>
          <w:lang w:val="en-US"/>
        </w:rPr>
      </w:pPr>
    </w:p>
    <w:p w14:paraId="566BAE5C" w14:textId="5F95D5D0" w:rsidR="0014635E" w:rsidRDefault="0014635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Title: </w:t>
      </w:r>
    </w:p>
    <w:p w14:paraId="18B78F5A" w14:textId="77777777" w:rsidR="0014635E" w:rsidRDefault="0014635E">
      <w:pPr>
        <w:rPr>
          <w:b/>
          <w:bCs/>
          <w:lang w:val="en-US"/>
        </w:rPr>
      </w:pPr>
    </w:p>
    <w:p w14:paraId="75941334" w14:textId="450EC0B7" w:rsidR="0014635E" w:rsidRPr="00CE0F1C" w:rsidRDefault="00CE0F1C">
      <w:pPr>
        <w:rPr>
          <w:b/>
          <w:bCs/>
          <w:color w:val="000000" w:themeColor="text1"/>
          <w:lang w:val="en-US"/>
        </w:rPr>
      </w:pPr>
      <w:r w:rsidRPr="00CE0F1C">
        <w:rPr>
          <w:b/>
          <w:bCs/>
          <w:color w:val="000000" w:themeColor="text1"/>
          <w:lang w:val="en-US"/>
        </w:rPr>
        <w:t xml:space="preserve">“Public knowledge and public acceptance of nuclear energy in the Baltic States </w:t>
      </w:r>
      <w:r w:rsidR="007E137C">
        <w:rPr>
          <w:b/>
          <w:bCs/>
          <w:color w:val="000000" w:themeColor="text1"/>
          <w:lang w:val="en-US"/>
        </w:rPr>
        <w:t>compared to other</w:t>
      </w:r>
      <w:r w:rsidRPr="00CE0F1C">
        <w:rPr>
          <w:b/>
          <w:bCs/>
          <w:color w:val="000000" w:themeColor="text1"/>
          <w:lang w:val="en-US"/>
        </w:rPr>
        <w:t xml:space="preserve"> EU</w:t>
      </w:r>
      <w:r w:rsidR="007E137C">
        <w:rPr>
          <w:b/>
          <w:bCs/>
          <w:color w:val="000000" w:themeColor="text1"/>
          <w:lang w:val="en-US"/>
        </w:rPr>
        <w:t xml:space="preserve"> states</w:t>
      </w:r>
      <w:r w:rsidRPr="00CE0F1C">
        <w:rPr>
          <w:b/>
          <w:bCs/>
          <w:color w:val="000000" w:themeColor="text1"/>
          <w:lang w:val="en-US"/>
        </w:rPr>
        <w:t>.”</w:t>
      </w:r>
    </w:p>
    <w:p w14:paraId="435B5172" w14:textId="77777777" w:rsidR="0014635E" w:rsidRDefault="0014635E">
      <w:pPr>
        <w:rPr>
          <w:b/>
          <w:bCs/>
          <w:lang w:val="en-US"/>
        </w:rPr>
      </w:pPr>
    </w:p>
    <w:p w14:paraId="3969AED8" w14:textId="463C7B1C" w:rsidR="0014635E" w:rsidRDefault="00885958">
      <w:pPr>
        <w:rPr>
          <w:b/>
          <w:bCs/>
          <w:lang w:val="en-US"/>
        </w:rPr>
      </w:pPr>
      <w:r>
        <w:rPr>
          <w:lang w:val="en-US"/>
        </w:rPr>
        <w:t>Keywords:</w:t>
      </w:r>
    </w:p>
    <w:p w14:paraId="7CE30C81" w14:textId="7FD021C4" w:rsidR="0014635E" w:rsidRDefault="00885958">
      <w:pP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  <w:t>Nuclear Energy, Social Acceptance, Baltic States, Energy Policy, Public Meaning.</w:t>
      </w:r>
    </w:p>
    <w:p w14:paraId="12824586" w14:textId="77777777" w:rsidR="000B6B6C" w:rsidRDefault="000B6B6C">
      <w:pP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</w:pPr>
    </w:p>
    <w:p w14:paraId="07D877AF" w14:textId="77777777" w:rsidR="000B6B6C" w:rsidRDefault="000B6B6C">
      <w:pP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</w:pPr>
    </w:p>
    <w:p w14:paraId="45FA020D" w14:textId="7CDAC9A6" w:rsidR="006C18F1" w:rsidRPr="00501E10" w:rsidRDefault="006C18F1" w:rsidP="006C18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b/>
          <w:bCs/>
          <w:color w:val="000000" w:themeColor="text1"/>
          <w:lang w:val="en-US"/>
        </w:rPr>
        <w:t>Objectives/ scope</w:t>
      </w:r>
    </w:p>
    <w:p w14:paraId="7076EE1F" w14:textId="77777777" w:rsidR="007E137C" w:rsidRPr="0022348D" w:rsidRDefault="007E137C" w:rsidP="00501E10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78D7BC05" w14:textId="48BE3B79" w:rsidR="001138C3" w:rsidRPr="0022348D" w:rsidRDefault="007E137C" w:rsidP="0022348D">
      <w:pPr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>
        <w:rPr>
          <w:rFonts w:ascii="Times New Roman" w:hAnsi="Times New Roman" w:cs="Times New Roman"/>
          <w:color w:val="000000" w:themeColor="text1"/>
          <w:kern w:val="0"/>
          <w:lang w:val="en-GB"/>
        </w:rPr>
        <w:t>This paper analyses the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lang w:val="en-GB"/>
        </w:rPr>
        <w:t>evolution of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="001138C3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public attitudes and acceptance </w:t>
      </w:r>
      <w:r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of nuclear energy </w:t>
      </w:r>
      <w:r w:rsidR="001138C3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>in the Baltic States</w:t>
      </w:r>
      <w:r w:rsidR="00485BD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from 2009 to 2024, a period marked by deep geopolitical and technical changes</w:t>
      </w:r>
      <w:r w:rsidR="001138C3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. </w:t>
      </w:r>
      <w:r w:rsidR="00485BD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From this concrete example, it reflects on the</w:t>
      </w:r>
      <w:r w:rsidR="001138C3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significant problem in communicating complex issues related to energy and its infrastructure, energy policies and plans, and technological solutions to the public for education. </w:t>
      </w:r>
      <w:r w:rsidR="00EF2B50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It considers more </w:t>
      </w:r>
      <w:r w:rsidR="009612D8">
        <w:rPr>
          <w:rFonts w:ascii="Times New Roman" w:hAnsi="Times New Roman" w:cs="Times New Roman"/>
          <w:color w:val="000000" w:themeColor="text1"/>
          <w:kern w:val="0"/>
          <w:lang w:val="en-GB"/>
        </w:rPr>
        <w:t>particularly</w:t>
      </w:r>
      <w:r w:rsidR="00EF2B50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the</w:t>
      </w:r>
      <w:r w:rsidR="001138C3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role</w:t>
      </w:r>
      <w:r w:rsidR="00EF2B50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of scientists</w:t>
      </w:r>
      <w:r w:rsidR="001138C3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in this process, </w:t>
      </w:r>
      <w:r w:rsidR="00EF2B50">
        <w:rPr>
          <w:rFonts w:ascii="Times New Roman" w:hAnsi="Times New Roman" w:cs="Times New Roman"/>
          <w:color w:val="000000" w:themeColor="text1"/>
          <w:kern w:val="0"/>
          <w:lang w:val="en-GB"/>
        </w:rPr>
        <w:t>as</w:t>
      </w:r>
      <w:r w:rsidR="001138C3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>, on the issue of nuclear energy, the public trusts scientists more than journalists, industry representatives or politicians.</w:t>
      </w:r>
    </w:p>
    <w:p w14:paraId="7BD74C3E" w14:textId="030585B2" w:rsidR="00A602E1" w:rsidRPr="0022348D" w:rsidRDefault="00A602E1" w:rsidP="0022348D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The study </w:t>
      </w:r>
      <w:r w:rsidR="00EF2B50">
        <w:rPr>
          <w:rFonts w:ascii="Times New Roman" w:hAnsi="Times New Roman" w:cs="Times New Roman"/>
          <w:color w:val="000000" w:themeColor="text1"/>
          <w:kern w:val="0"/>
          <w:lang w:val="en-GB"/>
        </w:rPr>
        <w:t>compares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data </w:t>
      </w:r>
      <w:r w:rsidR="00EF2B50">
        <w:rPr>
          <w:rFonts w:ascii="Times New Roman" w:hAnsi="Times New Roman" w:cs="Times New Roman"/>
          <w:color w:val="000000" w:themeColor="text1"/>
          <w:kern w:val="0"/>
          <w:lang w:val="en-GB"/>
        </w:rPr>
        <w:t>on</w:t>
      </w:r>
      <w:r w:rsidR="00EF2B5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knowledge </w:t>
      </w:r>
      <w:r w:rsidR="00EF2B50">
        <w:rPr>
          <w:rFonts w:ascii="Times New Roman" w:hAnsi="Times New Roman" w:cs="Times New Roman"/>
          <w:color w:val="000000" w:themeColor="text1"/>
          <w:kern w:val="0"/>
          <w:lang w:val="en-GB"/>
        </w:rPr>
        <w:t>about</w:t>
      </w:r>
      <w:r w:rsidR="00EF2B5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nuclear energy issues in the Baltic </w:t>
      </w:r>
      <w:r w:rsidR="00D55CD4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States </w:t>
      </w:r>
      <w:r w:rsidR="00D55CD4">
        <w:rPr>
          <w:rFonts w:ascii="Times New Roman" w:hAnsi="Times New Roman" w:cs="Times New Roman"/>
          <w:color w:val="000000" w:themeColor="text1"/>
          <w:kern w:val="0"/>
          <w:lang w:val="en-GB"/>
        </w:rPr>
        <w:t>to</w:t>
      </w:r>
      <w:r w:rsidR="00EF2B50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similar data in other states of the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European Union.</w:t>
      </w:r>
    </w:p>
    <w:p w14:paraId="6B1ABD26" w14:textId="77777777" w:rsidR="00A602E1" w:rsidRPr="0022348D" w:rsidRDefault="00A602E1" w:rsidP="001138C3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56B0BABB" w14:textId="77777777" w:rsidR="00744B3E" w:rsidRPr="0022348D" w:rsidRDefault="00744B3E" w:rsidP="00744B3E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1FA6CF48" w14:textId="3E5FA782" w:rsidR="006C18F1" w:rsidRPr="0022348D" w:rsidRDefault="006C18F1" w:rsidP="006C18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b/>
          <w:bCs/>
          <w:color w:val="000000" w:themeColor="text1"/>
          <w:lang w:val="en-US"/>
        </w:rPr>
        <w:t>Methods</w:t>
      </w:r>
    </w:p>
    <w:p w14:paraId="78100BC4" w14:textId="77777777" w:rsidR="00744B3E" w:rsidRPr="0022348D" w:rsidRDefault="00744B3E" w:rsidP="00744B3E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5FF5402F" w14:textId="35C12472" w:rsidR="009E42A6" w:rsidRPr="0022348D" w:rsidRDefault="009E42A6" w:rsidP="0022348D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2348D">
        <w:rPr>
          <w:rFonts w:ascii="Times New Roman" w:hAnsi="Times New Roman" w:cs="Times New Roman"/>
          <w:color w:val="000000" w:themeColor="text1"/>
          <w:lang w:val="en-US"/>
        </w:rPr>
        <w:t>The research utilized a combination of methods, including case studies of specific events and policies, analysis within socio-political and economic frameworks, data from Eurobarometer and other survey sources, reports from industry associations, rhetorical analysis of state leader’s statements, and a review of theoretical literature to examine public acceptance of nuclear energy in the Baltic States. The scope of the study spans the period from 2009 to 2024</w:t>
      </w:r>
      <w:r w:rsidR="00AB3FAC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DA402E6" w14:textId="77777777" w:rsidR="00744B3E" w:rsidRPr="0022348D" w:rsidRDefault="00744B3E" w:rsidP="00744B3E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74722B18" w14:textId="392879D8" w:rsidR="006C18F1" w:rsidRPr="0022348D" w:rsidRDefault="006C18F1" w:rsidP="006C18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b/>
          <w:bCs/>
          <w:color w:val="000000" w:themeColor="text1"/>
          <w:lang w:val="en-US"/>
        </w:rPr>
        <w:t>Results, Observations, conclusions</w:t>
      </w:r>
    </w:p>
    <w:p w14:paraId="1FC16417" w14:textId="77777777" w:rsidR="00744B3E" w:rsidRPr="0022348D" w:rsidRDefault="00744B3E" w:rsidP="00744B3E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25CB35F6" w14:textId="77777777" w:rsidR="00040688" w:rsidRPr="0022348D" w:rsidRDefault="00040688" w:rsidP="00744B3E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0D2DA9B9" w14:textId="77777777" w:rsidR="00F12921" w:rsidRPr="0022348D" w:rsidRDefault="00F12921" w:rsidP="0022348D">
      <w:pPr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The study shows increasingly positive attitudes toward nuclear energy, though the Baltic states do not produce nuclear energy. </w:t>
      </w:r>
    </w:p>
    <w:p w14:paraId="2BD4DF06" w14:textId="3B4D8B17" w:rsidR="00F12921" w:rsidRPr="0022348D" w:rsidRDefault="00F12921" w:rsidP="0022348D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Moreover, public acceptance has </w:t>
      </w:r>
      <w:r w:rsidR="00AB3FAC">
        <w:rPr>
          <w:rFonts w:ascii="Times New Roman" w:hAnsi="Times New Roman" w:cs="Times New Roman"/>
          <w:color w:val="000000" w:themeColor="text1"/>
          <w:kern w:val="0"/>
          <w:lang w:val="en-GB"/>
        </w:rPr>
        <w:t>increased</w:t>
      </w:r>
      <w:r w:rsidR="00AB3FAC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="00AB3FAC">
        <w:rPr>
          <w:rFonts w:ascii="Times New Roman" w:hAnsi="Times New Roman" w:cs="Times New Roman"/>
          <w:color w:val="000000" w:themeColor="text1"/>
          <w:kern w:val="0"/>
          <w:lang w:val="en-GB"/>
        </w:rPr>
        <w:t>more</w:t>
      </w:r>
      <w:r w:rsidR="00AB3FAC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rapidly since 2022, following the conflict in Ukraine. Until recently, public attitudes were </w:t>
      </w:r>
      <w:r w:rsidR="00AB3FAC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still 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>strongly influenced by the negative legacy of the Chernobyl and Fukushima disaster</w:t>
      </w:r>
      <w:r w:rsidR="00AB3FAC">
        <w:rPr>
          <w:rFonts w:ascii="Times New Roman" w:hAnsi="Times New Roman" w:cs="Times New Roman"/>
          <w:color w:val="000000" w:themeColor="text1"/>
          <w:kern w:val="0"/>
          <w:lang w:val="en-GB"/>
        </w:rPr>
        <w:t>s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. However, the energy crisis following the closure of the </w:t>
      </w:r>
      <w:proofErr w:type="spellStart"/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>Ignalina</w:t>
      </w:r>
      <w:proofErr w:type="spellEnd"/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Nuclear Power Plant in Lithuania, required for the accession to the EU, has contributed to a shift toward greater acceptance of nuclear energy. </w:t>
      </w:r>
    </w:p>
    <w:p w14:paraId="532C9E1E" w14:textId="355145C7" w:rsidR="00E26FC2" w:rsidRPr="0022348D" w:rsidRDefault="00E26FC2" w:rsidP="0022348D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Preliminary results indicate significant differences in acceptance levels in Baltic States – with Estonia showing the highest support for new nuclear initiatives, while Latvia and Lithuania </w:t>
      </w:r>
      <w:proofErr w:type="gramStart"/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>remains</w:t>
      </w:r>
      <w:proofErr w:type="gramEnd"/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more sceptical.</w:t>
      </w:r>
    </w:p>
    <w:p w14:paraId="0ABEC0DA" w14:textId="026C0527" w:rsidR="00EF2B50" w:rsidRDefault="00F12921" w:rsidP="00F52C79">
      <w:pPr>
        <w:ind w:firstLine="360"/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lastRenderedPageBreak/>
        <w:t xml:space="preserve">The survey data also reveals that there is still a significant part of society in the Baltic States </w:t>
      </w:r>
      <w:r w:rsidR="00AB3FAC">
        <w:rPr>
          <w:rFonts w:ascii="Times New Roman" w:hAnsi="Times New Roman" w:cs="Times New Roman"/>
          <w:color w:val="000000" w:themeColor="text1"/>
          <w:kern w:val="0"/>
          <w:lang w:val="en-GB"/>
        </w:rPr>
        <w:t>without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opinion, </w:t>
      </w:r>
      <w:r w:rsidR="00AB3FAC">
        <w:rPr>
          <w:rFonts w:ascii="Times New Roman" w:hAnsi="Times New Roman" w:cs="Times New Roman"/>
          <w:color w:val="000000" w:themeColor="text1"/>
          <w:kern w:val="0"/>
          <w:lang w:val="en-GB"/>
        </w:rPr>
        <w:t>or</w:t>
      </w:r>
      <w:r w:rsidR="00AB3FAC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knowledge about nuclear energy. </w:t>
      </w:r>
      <w:r w:rsidR="00EF2B50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Indeed, </w:t>
      </w:r>
      <w:r w:rsidR="00EF2B5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in the Baltic States (10-13%) </w:t>
      </w:r>
      <w:r w:rsidR="00AB3FAC">
        <w:rPr>
          <w:rFonts w:ascii="Times New Roman" w:hAnsi="Times New Roman" w:cs="Times New Roman"/>
          <w:color w:val="000000" w:themeColor="text1"/>
          <w:kern w:val="0"/>
          <w:lang w:val="en-GB"/>
        </w:rPr>
        <w:t>of people</w:t>
      </w:r>
      <w:r w:rsidR="00EF2B5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have no opinion on the effect of nuclear energy as energy production, when the EU average is 6%. For example, in Hungary 1%, in the Czech Republic 2%, in the Netherlands and Luxembourg 3%, </w:t>
      </w:r>
      <w:r w:rsidR="00AB3FAC">
        <w:rPr>
          <w:rFonts w:ascii="Times New Roman" w:hAnsi="Times New Roman" w:cs="Times New Roman"/>
          <w:color w:val="000000" w:themeColor="text1"/>
          <w:kern w:val="0"/>
          <w:lang w:val="en-GB"/>
        </w:rPr>
        <w:t>and</w:t>
      </w:r>
      <w:r w:rsidR="00EF2B5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in the EU the record holder in nuclear energy production and export</w:t>
      </w:r>
      <w:r w:rsidR="00AB3FAC">
        <w:rPr>
          <w:rFonts w:ascii="Times New Roman" w:hAnsi="Times New Roman" w:cs="Times New Roman"/>
          <w:color w:val="000000" w:themeColor="text1"/>
          <w:kern w:val="0"/>
          <w:lang w:val="en-GB"/>
        </w:rPr>
        <w:t>, France,</w:t>
      </w:r>
      <w:r w:rsidR="00EF2B5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- 4%, as well as in Sweden and Slovenia.</w:t>
      </w:r>
    </w:p>
    <w:p w14:paraId="1AA6A741" w14:textId="57E709CE" w:rsidR="00F12921" w:rsidRPr="0022348D" w:rsidRDefault="00AB3FAC" w:rsidP="0022348D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This observation interrogates the information provided to the Baltic population. In particular, it </w:t>
      </w:r>
      <w:r w:rsidR="00706673">
        <w:rPr>
          <w:rFonts w:ascii="Times New Roman" w:hAnsi="Times New Roman" w:cs="Times New Roman"/>
          <w:color w:val="000000" w:themeColor="text1"/>
          <w:kern w:val="0"/>
          <w:lang w:val="en-GB"/>
        </w:rPr>
        <w:t>suggests more</w:t>
      </w:r>
      <w:r w:rsidR="00F12921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active and interactive dissemination of </w:t>
      </w:r>
      <w:r w:rsidR="00706673">
        <w:rPr>
          <w:rFonts w:ascii="Times New Roman" w:hAnsi="Times New Roman" w:cs="Times New Roman"/>
          <w:color w:val="000000" w:themeColor="text1"/>
          <w:kern w:val="0"/>
          <w:lang w:val="en-GB"/>
        </w:rPr>
        <w:t>scientific and technical knowledge</w:t>
      </w:r>
      <w:r w:rsidR="00F12921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>, in a way that is easier for the public to understand, leading to a deeper understanding of scientific topics.</w:t>
      </w:r>
    </w:p>
    <w:p w14:paraId="245AA08F" w14:textId="6936316E" w:rsidR="00C10520" w:rsidRPr="0022348D" w:rsidRDefault="00706673" w:rsidP="0022348D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>
        <w:rPr>
          <w:rFonts w:ascii="Times New Roman" w:hAnsi="Times New Roman" w:cs="Times New Roman"/>
          <w:color w:val="000000" w:themeColor="text1"/>
          <w:kern w:val="0"/>
          <w:lang w:val="en-GB"/>
        </w:rPr>
        <w:t>Technical information about</w:t>
      </w:r>
      <w:r w:rsidR="00C1052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nuclear energy is not widespread</w:t>
      </w:r>
      <w:r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in the Baltic states</w:t>
      </w:r>
      <w:r w:rsidR="00C1052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>, as they do not currently produce nuclear energy</w:t>
      </w:r>
      <w:r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anymore,</w:t>
      </w:r>
      <w:r w:rsidR="009612D8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following the EU request to close the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lang w:val="en-GB"/>
        </w:rPr>
        <w:t>Ignalina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Nuclear Power plant in </w:t>
      </w:r>
      <w:r w:rsidR="009612D8">
        <w:rPr>
          <w:rFonts w:ascii="Times New Roman" w:hAnsi="Times New Roman" w:cs="Times New Roman"/>
          <w:color w:val="000000" w:themeColor="text1"/>
          <w:kern w:val="0"/>
          <w:lang w:val="en-GB"/>
        </w:rPr>
        <w:t>Lithuania.</w:t>
      </w:r>
      <w:r w:rsidR="00C1052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However, the construction of small modular reactors in the Baltic States is currently on the political agenda</w:t>
      </w:r>
      <w:r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therefore it seems relevant to increase public information about this issue</w:t>
      </w:r>
      <w:r w:rsidR="00C10520"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>.</w:t>
      </w:r>
    </w:p>
    <w:p w14:paraId="173046A4" w14:textId="066B1D5E" w:rsidR="00040688" w:rsidRPr="0022348D" w:rsidRDefault="00F12921" w:rsidP="0022348D">
      <w:pPr>
        <w:ind w:firstLine="360"/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color w:val="000000" w:themeColor="text1"/>
          <w:kern w:val="0"/>
          <w:lang w:val="en-GB"/>
        </w:rPr>
        <w:t>Finally, the transition to green energy and the EUs climate targets have influenced public acceptance of nuclear energy. In this respect, the issue of nuclear waste’s environmental impact remains a critical challenge.</w:t>
      </w:r>
    </w:p>
    <w:p w14:paraId="5CD9CB64" w14:textId="77777777" w:rsidR="004A4302" w:rsidRPr="0022348D" w:rsidRDefault="004A4302" w:rsidP="00F12921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7B6EB862" w14:textId="77777777" w:rsidR="00A602E1" w:rsidRPr="0022348D" w:rsidRDefault="00A602E1" w:rsidP="00F12921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7DB335C2" w14:textId="77777777" w:rsidR="00A602E1" w:rsidRPr="0022348D" w:rsidRDefault="00A602E1" w:rsidP="00F12921">
      <w:pPr>
        <w:pStyle w:val="ListParagraph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37FDD7E0" w14:textId="742F8B08" w:rsidR="006C18F1" w:rsidRPr="0022348D" w:rsidRDefault="006C18F1" w:rsidP="006C18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22348D">
        <w:rPr>
          <w:rFonts w:ascii="Times New Roman" w:hAnsi="Times New Roman" w:cs="Times New Roman"/>
          <w:b/>
          <w:bCs/>
          <w:color w:val="000000" w:themeColor="text1"/>
          <w:lang w:val="en-US"/>
        </w:rPr>
        <w:t>How this paper will present novel or additive information (..) benefit to a practicing engineer</w:t>
      </w:r>
    </w:p>
    <w:p w14:paraId="4D475E1B" w14:textId="77777777" w:rsidR="000B6B6C" w:rsidRPr="0022348D" w:rsidRDefault="000B6B6C">
      <w:pPr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718A92EA" w14:textId="77777777" w:rsidR="000B6B6C" w:rsidRPr="0022348D" w:rsidRDefault="000B6B6C">
      <w:pPr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04C3BB21" w14:textId="49861A9A" w:rsidR="00AA1B3C" w:rsidRPr="0022348D" w:rsidRDefault="00706673" w:rsidP="00225940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T</w:t>
      </w:r>
      <w:r w:rsidR="00AA1B3C" w:rsidRPr="0022348D">
        <w:rPr>
          <w:rFonts w:ascii="Times New Roman" w:hAnsi="Times New Roman" w:cs="Times New Roman"/>
          <w:color w:val="000000" w:themeColor="text1"/>
          <w:lang w:val="en-US"/>
        </w:rPr>
        <w:t>his research can provide valuable insights for planners of future engineering education, enabling them to identify trends in nuclear energy education, including the knowledge and workforce demands of the future.</w:t>
      </w:r>
      <w:r w:rsidR="00047763" w:rsidRPr="0022348D">
        <w:rPr>
          <w:rFonts w:ascii="Times New Roman" w:hAnsi="Times New Roman" w:cs="Times New Roman"/>
          <w:color w:val="000000" w:themeColor="text1"/>
          <w:lang w:val="en-US"/>
        </w:rPr>
        <w:t xml:space="preserve"> The study provides a recommendation - a new method for informing the public and monitoring opinions, using the principle of an e-Learning platform.</w:t>
      </w:r>
      <w:r w:rsidR="00AA1B3C" w:rsidRPr="0022348D">
        <w:rPr>
          <w:rFonts w:ascii="Times New Roman" w:hAnsi="Times New Roman" w:cs="Times New Roman"/>
          <w:color w:val="000000" w:themeColor="text1"/>
          <w:lang w:val="en-US"/>
        </w:rPr>
        <w:t xml:space="preserve"> Additionally, investors can utilize these insights to assess the market potential of the nuclear energy sector in the Baltic States. </w:t>
      </w:r>
    </w:p>
    <w:p w14:paraId="7D5A72CC" w14:textId="77777777" w:rsidR="000B6B6C" w:rsidRPr="0022348D" w:rsidRDefault="000B6B6C">
      <w:pPr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3D0AF445" w14:textId="77777777" w:rsidR="000B6B6C" w:rsidRDefault="000B6B6C">
      <w:pP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</w:pPr>
    </w:p>
    <w:p w14:paraId="7400B3DF" w14:textId="77777777" w:rsidR="000B6B6C" w:rsidRDefault="000B6B6C">
      <w:pP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</w:pPr>
    </w:p>
    <w:p w14:paraId="042E5DAA" w14:textId="77777777" w:rsidR="000B6B6C" w:rsidRDefault="000B6B6C">
      <w:pP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</w:pPr>
    </w:p>
    <w:p w14:paraId="5982605B" w14:textId="77777777" w:rsidR="009D465A" w:rsidRDefault="009D465A" w:rsidP="009D465A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79B76A15" w14:textId="77777777" w:rsidR="009D465A" w:rsidRDefault="009D465A" w:rsidP="009D465A">
      <w:pPr>
        <w:pStyle w:val="ListParagraph"/>
        <w:rPr>
          <w:b/>
          <w:bCs/>
          <w:lang w:val="en-US"/>
        </w:rPr>
      </w:pPr>
    </w:p>
    <w:p w14:paraId="0C6D9E78" w14:textId="77777777" w:rsidR="009D465A" w:rsidRPr="00B35C7C" w:rsidRDefault="009D465A" w:rsidP="009D465A">
      <w:pPr>
        <w:pStyle w:val="ListParagraph"/>
        <w:numPr>
          <w:ilvl w:val="0"/>
          <w:numId w:val="3"/>
        </w:numPr>
        <w:rPr>
          <w:rStyle w:val="anchor-text"/>
          <w:rFonts w:ascii="Times New Roman" w:hAnsi="Times New Roman" w:cs="Times New Roman"/>
          <w:sz w:val="20"/>
          <w:szCs w:val="20"/>
        </w:rPr>
      </w:pPr>
      <w:r w:rsidRPr="00B35C7C">
        <w:rPr>
          <w:rFonts w:ascii="Times New Roman" w:hAnsi="Times New Roman" w:cs="Times New Roman"/>
          <w:sz w:val="20"/>
          <w:szCs w:val="20"/>
        </w:rPr>
        <w:t xml:space="preserve">S.FANG, A.M.JAFFE, T.LOCH-TEMZELIDES, C.L..PRETE. “Electricity grids and geopolitics: A game-theoretic analysis of the synchronization of the Baltic States’ electricity networks with Continental Europe”, </w:t>
      </w:r>
      <w:r>
        <w:fldChar w:fldCharType="begin"/>
      </w:r>
      <w:r>
        <w:instrText>HYPERLINK "https://doi.org/10.1016/j.enpol.2024.114068"</w:instrText>
      </w:r>
      <w:r>
        <w:fldChar w:fldCharType="separate"/>
      </w:r>
      <w:r w:rsidRPr="00B35C7C">
        <w:rPr>
          <w:rStyle w:val="Hyperlink"/>
          <w:rFonts w:ascii="Times New Roman" w:hAnsi="Times New Roman" w:cs="Times New Roman"/>
          <w:sz w:val="20"/>
          <w:szCs w:val="20"/>
        </w:rPr>
        <w:t>https://doi.org/10.1016/j.enpol.2024.114068</w:t>
      </w:r>
      <w:r>
        <w:fldChar w:fldCharType="end"/>
      </w:r>
    </w:p>
    <w:p w14:paraId="64651837" w14:textId="77777777" w:rsidR="009D465A" w:rsidRPr="00B35C7C" w:rsidRDefault="009D465A" w:rsidP="009D4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35C7C">
        <w:rPr>
          <w:rFonts w:ascii="Times New Roman" w:hAnsi="Times New Roman" w:cs="Times New Roman"/>
          <w:sz w:val="20"/>
          <w:szCs w:val="20"/>
        </w:rPr>
        <w:t xml:space="preserve"> Azagra-Caro, J. M. and Pavone, V. (2024). The effect of scientific impact on science communication through art from the lens of deviance theories JCOM 23(06), A02. </w:t>
      </w:r>
      <w:r>
        <w:fldChar w:fldCharType="begin"/>
      </w:r>
      <w:r>
        <w:instrText>HYPERLINK "https://doi.org/10.22323/2.23060202"</w:instrText>
      </w:r>
      <w:r>
        <w:fldChar w:fldCharType="separate"/>
      </w:r>
      <w:r w:rsidRPr="00B35C7C">
        <w:rPr>
          <w:rStyle w:val="Hyperlink"/>
          <w:rFonts w:ascii="Times New Roman" w:hAnsi="Times New Roman" w:cs="Times New Roman"/>
          <w:sz w:val="20"/>
          <w:szCs w:val="20"/>
        </w:rPr>
        <w:t>https://doi.org/10.22323/2.23060202</w:t>
      </w:r>
      <w:r>
        <w:fldChar w:fldCharType="end"/>
      </w:r>
    </w:p>
    <w:p w14:paraId="155EDFC8" w14:textId="77777777" w:rsidR="009D465A" w:rsidRPr="00B35C7C" w:rsidRDefault="009D465A" w:rsidP="009D4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35C7C">
        <w:rPr>
          <w:rFonts w:ascii="Times New Roman" w:hAnsi="Times New Roman" w:cs="Times New Roman"/>
          <w:sz w:val="20"/>
          <w:szCs w:val="20"/>
        </w:rPr>
        <w:t>H.CHEN, X.YAO, P.SUBEIDI, C.HAO, “Residual-INR: Communication Efficient On-Device Learning Using Implicit Neural Representation”, AUGUST, 2024., DOI: 10.48550/arXiv.2408.05617</w:t>
      </w:r>
    </w:p>
    <w:p w14:paraId="73BBC169" w14:textId="77777777" w:rsidR="009D465A" w:rsidRPr="00B35C7C" w:rsidRDefault="009D465A" w:rsidP="009D4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35C7C">
        <w:rPr>
          <w:rFonts w:ascii="Times New Roman" w:hAnsi="Times New Roman" w:cs="Times New Roman"/>
          <w:sz w:val="20"/>
          <w:szCs w:val="20"/>
        </w:rPr>
        <w:t>Orduna-Malea, C.I.Font-Julian, “Research on Research Visibility”, February 2025., DOI: 10.48550/arXiv.2502.11923</w:t>
      </w:r>
    </w:p>
    <w:p w14:paraId="04F7DD79" w14:textId="77777777" w:rsidR="009D465A" w:rsidRPr="00B35C7C" w:rsidRDefault="009D465A" w:rsidP="009D4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35C7C">
        <w:rPr>
          <w:rFonts w:ascii="Times New Roman" w:hAnsi="Times New Roman" w:cs="Times New Roman"/>
          <w:sz w:val="20"/>
          <w:szCs w:val="20"/>
        </w:rPr>
        <w:t xml:space="preserve">Energy process modeling tool : </w:t>
      </w:r>
      <w:r>
        <w:fldChar w:fldCharType="begin"/>
      </w:r>
      <w:r>
        <w:instrText>HYPERLINK "https://exchange.iseesystems.com/public/andra/nekp02062021/index.html" \l "page2"</w:instrText>
      </w:r>
      <w:r>
        <w:fldChar w:fldCharType="separate"/>
      </w:r>
      <w:r w:rsidRPr="00B35C7C">
        <w:rPr>
          <w:rStyle w:val="Hyperlink"/>
          <w:rFonts w:ascii="Times New Roman" w:hAnsi="Times New Roman" w:cs="Times New Roman"/>
          <w:sz w:val="20"/>
          <w:szCs w:val="20"/>
        </w:rPr>
        <w:t>https://exchange.iseesystems.com/public/andra/nekp02062021/index.html#page2</w:t>
      </w:r>
      <w:r>
        <w:fldChar w:fldCharType="end"/>
      </w:r>
    </w:p>
    <w:p w14:paraId="33F815E4" w14:textId="77777777" w:rsidR="009D465A" w:rsidRDefault="009D465A" w:rsidP="009D4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35C7C">
        <w:rPr>
          <w:rFonts w:ascii="Times New Roman" w:hAnsi="Times New Roman" w:cs="Times New Roman"/>
          <w:sz w:val="20"/>
          <w:szCs w:val="20"/>
        </w:rPr>
        <w:t>Eurostat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481009">
        <w:rPr>
          <w:rFonts w:ascii="Times New Roman" w:hAnsi="Times New Roman" w:cs="Times New Roman"/>
          <w:sz w:val="20"/>
          <w:szCs w:val="20"/>
        </w:rPr>
        <w:t>https://ec.europa.eu/eurostat/statistics-explained/index.php?title=Nuclear_energy_statistics</w:t>
      </w:r>
    </w:p>
    <w:p w14:paraId="4F6CA8BD" w14:textId="77777777" w:rsidR="009D465A" w:rsidRDefault="009D465A" w:rsidP="009D4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Eurobarametr: , </w:t>
      </w:r>
      <w:r>
        <w:fldChar w:fldCharType="begin"/>
      </w:r>
      <w:r>
        <w:instrText>HYPERLINK "https://europa.eu/eurobarometer/surveys/detail/3227"</w:instrText>
      </w:r>
      <w:r>
        <w:fldChar w:fldCharType="separate"/>
      </w:r>
      <w:r w:rsidRPr="00661E32">
        <w:rPr>
          <w:rStyle w:val="Hyperlink"/>
          <w:rFonts w:ascii="Times New Roman" w:hAnsi="Times New Roman" w:cs="Times New Roman"/>
          <w:sz w:val="20"/>
          <w:szCs w:val="20"/>
        </w:rPr>
        <w:t>https://europa.eu/eurobarometer/surveys/detail/3227</w:t>
      </w:r>
      <w:r>
        <w:fldChar w:fldCharType="end"/>
      </w:r>
    </w:p>
    <w:p w14:paraId="16923D7E" w14:textId="77777777" w:rsidR="009D465A" w:rsidRPr="00B35C7C" w:rsidRDefault="009D465A" w:rsidP="009D4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Statista: </w:t>
      </w:r>
      <w:r w:rsidRPr="004948E7">
        <w:rPr>
          <w:rFonts w:ascii="Times New Roman" w:hAnsi="Times New Roman" w:cs="Times New Roman"/>
          <w:sz w:val="20"/>
          <w:szCs w:val="20"/>
        </w:rPr>
        <w:t>https://www.statista.com/topics/1087/nuclear-power/#topicOverview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4DD4A8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 xml:space="preserve">European Commission, 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Commission opens in-depth State aid investigation into Belgian support for lifetime extension of two nuclear reactors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Business, Economy, Euro., 22 July 2024, Europa.eu</w:t>
      </w:r>
    </w:p>
    <w:p w14:paraId="5BE3E841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European Commission, 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EU taxonomy for sustainable </w:t>
      </w:r>
      <w:proofErr w:type="gramStart"/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activities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 finance.ec.europa.eu</w:t>
      </w:r>
      <w:proofErr w:type="gramEnd"/>
    </w:p>
    <w:p w14:paraId="5151DA6F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Official Journal of the European Union, 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COMMISSION DELEGATED REGULATION (EU) 2022/1214, 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Document 32022R1214, EUR-Lex., 9 March 2022, eur-lex.europa.eu</w:t>
      </w:r>
    </w:p>
    <w:p w14:paraId="4C35B67B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European Commission, </w:t>
      </w:r>
      <w:proofErr w:type="gramStart"/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In</w:t>
      </w:r>
      <w:proofErr w:type="gramEnd"/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 focus: EU nuclear energy policy – why it matters to us all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Energy, 13 March 2024, energy.ec.europa.eu</w:t>
      </w:r>
    </w:p>
    <w:p w14:paraId="43A66493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European Parliament, 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Strategic autonomy and the future of nuclear energy in the EU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proofErr w:type="gram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Briefing ,</w:t>
      </w:r>
      <w:proofErr w:type="gram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February 2024, www.europarl.europa.eu</w:t>
      </w:r>
    </w:p>
    <w:p w14:paraId="616D37B6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Brugidou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M., </w:t>
      </w: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Bouillet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J., 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A return to grace for nuclear power in European public opinion? Some elements of a rapid paradigm shift, </w:t>
      </w: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Fondation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Robert Schuman, Schuman Papers n°662, 27 March 2023</w:t>
      </w:r>
    </w:p>
    <w:p w14:paraId="35FF38EE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Zepa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I., 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From energy islands to energy highlands? 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Political barriers to sustainability transitions in the Baltic region, Energy Research &amp; Social Science, </w:t>
      </w: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Volme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93, November 2022, https://doi.org/10.1016/j.erss.2022.102809</w:t>
      </w:r>
    </w:p>
    <w:p w14:paraId="1B37C6F3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OECD Nuclear Energy Agency (NEA), Organisation for economic co-operation and development, report on 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Public Attitudes to Nuclear Power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NEA Nr. 6859, OECD Publications, France, 2010, ISBN 978-92-64-99111-8</w:t>
      </w:r>
    </w:p>
    <w:p w14:paraId="45D80C81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European Nuclear Society, Support for nuclear energy is increasing in all EU member states, 2022, </w:t>
      </w:r>
      <w:hyperlink r:id="rId8" w:history="1">
        <w:r w:rsidRPr="00B35C7C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www.euronuclear.org</w:t>
        </w:r>
      </w:hyperlink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0C647B7F" w14:textId="77777777" w:rsidR="009D465A" w:rsidRPr="00B35C7C" w:rsidRDefault="009D465A" w:rsidP="009D465A">
      <w:pPr>
        <w:pStyle w:val="FootnoteText"/>
        <w:numPr>
          <w:ilvl w:val="0"/>
          <w:numId w:val="3"/>
        </w:numPr>
        <w:jc w:val="both"/>
        <w:rPr>
          <w:rFonts w:ascii="Times New Roman" w:hAnsi="Times New Roman" w:cs="Times New Roman"/>
          <w:lang w:val="lv-LV"/>
        </w:rPr>
      </w:pPr>
      <w:proofErr w:type="spellStart"/>
      <w:r w:rsidRPr="00B35C7C">
        <w:rPr>
          <w:rFonts w:ascii="Times New Roman" w:hAnsi="Times New Roman" w:cs="Times New Roman"/>
          <w:i/>
          <w:iCs/>
          <w:lang w:val="lv-LV"/>
        </w:rPr>
        <w:t>Towards</w:t>
      </w:r>
      <w:proofErr w:type="spellEnd"/>
      <w:r w:rsidRPr="00B35C7C">
        <w:rPr>
          <w:rFonts w:ascii="Times New Roman" w:hAnsi="Times New Roman" w:cs="Times New Roman"/>
          <w:i/>
          <w:iCs/>
          <w:lang w:val="lv-LV"/>
        </w:rPr>
        <w:t xml:space="preserve"> </w:t>
      </w:r>
      <w:proofErr w:type="spellStart"/>
      <w:r w:rsidRPr="00B35C7C">
        <w:rPr>
          <w:rFonts w:ascii="Times New Roman" w:hAnsi="Times New Roman" w:cs="Times New Roman"/>
          <w:i/>
          <w:iCs/>
          <w:lang w:val="lv-LV"/>
        </w:rPr>
        <w:t>climate</w:t>
      </w:r>
      <w:proofErr w:type="spellEnd"/>
      <w:r w:rsidRPr="00B35C7C">
        <w:rPr>
          <w:rFonts w:ascii="Times New Roman" w:hAnsi="Times New Roman" w:cs="Times New Roman"/>
          <w:i/>
          <w:iCs/>
          <w:lang w:val="lv-LV"/>
        </w:rPr>
        <w:t xml:space="preserve"> </w:t>
      </w:r>
      <w:proofErr w:type="spellStart"/>
      <w:r w:rsidRPr="00B35C7C">
        <w:rPr>
          <w:rFonts w:ascii="Times New Roman" w:hAnsi="Times New Roman" w:cs="Times New Roman"/>
          <w:i/>
          <w:iCs/>
          <w:lang w:val="lv-LV"/>
        </w:rPr>
        <w:t>neutrality</w:t>
      </w:r>
      <w:proofErr w:type="spellEnd"/>
      <w:r w:rsidRPr="00B35C7C">
        <w:rPr>
          <w:rFonts w:ascii="Times New Roman" w:hAnsi="Times New Roman" w:cs="Times New Roman"/>
          <w:lang w:val="lv-LV"/>
        </w:rPr>
        <w:t xml:space="preserve">: </w:t>
      </w:r>
      <w:proofErr w:type="spellStart"/>
      <w:r w:rsidRPr="00B35C7C">
        <w:rPr>
          <w:rFonts w:ascii="Times New Roman" w:hAnsi="Times New Roman" w:cs="Times New Roman"/>
          <w:i/>
          <w:iCs/>
          <w:lang w:val="lv-LV"/>
        </w:rPr>
        <w:t>Economic</w:t>
      </w:r>
      <w:proofErr w:type="spellEnd"/>
      <w:r w:rsidRPr="00B35C7C">
        <w:rPr>
          <w:rFonts w:ascii="Times New Roman" w:hAnsi="Times New Roman" w:cs="Times New Roman"/>
          <w:i/>
          <w:iCs/>
          <w:lang w:val="lv-LV"/>
        </w:rPr>
        <w:t xml:space="preserve"> </w:t>
      </w:r>
      <w:proofErr w:type="spellStart"/>
      <w:r w:rsidRPr="00B35C7C">
        <w:rPr>
          <w:rFonts w:ascii="Times New Roman" w:hAnsi="Times New Roman" w:cs="Times New Roman"/>
          <w:i/>
          <w:iCs/>
          <w:lang w:val="lv-LV"/>
        </w:rPr>
        <w:t>impacts</w:t>
      </w:r>
      <w:proofErr w:type="spellEnd"/>
      <w:r w:rsidRPr="00B35C7C">
        <w:rPr>
          <w:rFonts w:ascii="Times New Roman" w:hAnsi="Times New Roman" w:cs="Times New Roman"/>
          <w:i/>
          <w:iCs/>
          <w:lang w:val="lv-LV"/>
        </w:rPr>
        <w:t xml:space="preserve">, </w:t>
      </w:r>
      <w:proofErr w:type="spellStart"/>
      <w:r w:rsidRPr="00B35C7C">
        <w:rPr>
          <w:rFonts w:ascii="Times New Roman" w:hAnsi="Times New Roman" w:cs="Times New Roman"/>
          <w:i/>
          <w:iCs/>
          <w:lang w:val="lv-LV"/>
        </w:rPr>
        <w:t>opportunities</w:t>
      </w:r>
      <w:proofErr w:type="spellEnd"/>
      <w:r w:rsidRPr="00B35C7C">
        <w:rPr>
          <w:rFonts w:ascii="Times New Roman" w:hAnsi="Times New Roman" w:cs="Times New Roman"/>
          <w:i/>
          <w:iCs/>
          <w:lang w:val="lv-LV"/>
        </w:rPr>
        <w:t xml:space="preserve"> </w:t>
      </w:r>
      <w:proofErr w:type="spellStart"/>
      <w:r w:rsidRPr="00B35C7C">
        <w:rPr>
          <w:rFonts w:ascii="Times New Roman" w:hAnsi="Times New Roman" w:cs="Times New Roman"/>
          <w:i/>
          <w:iCs/>
          <w:lang w:val="lv-LV"/>
        </w:rPr>
        <w:t>and</w:t>
      </w:r>
      <w:proofErr w:type="spellEnd"/>
      <w:r w:rsidRPr="00B35C7C">
        <w:rPr>
          <w:rFonts w:ascii="Times New Roman" w:hAnsi="Times New Roman" w:cs="Times New Roman"/>
          <w:i/>
          <w:iCs/>
          <w:lang w:val="lv-LV"/>
        </w:rPr>
        <w:t xml:space="preserve"> risks</w:t>
      </w:r>
      <w:r w:rsidRPr="00B35C7C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Pr="00B35C7C">
        <w:rPr>
          <w:rFonts w:ascii="Times New Roman" w:hAnsi="Times New Roman" w:cs="Times New Roman"/>
          <w:lang w:val="lv-LV"/>
        </w:rPr>
        <w:t>Monograph</w:t>
      </w:r>
      <w:proofErr w:type="spellEnd"/>
      <w:r w:rsidRPr="00B35C7C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Pr="00B35C7C">
        <w:rPr>
          <w:rFonts w:ascii="Times New Roman" w:hAnsi="Times New Roman" w:cs="Times New Roman"/>
          <w:lang w:val="lv-LV"/>
        </w:rPr>
        <w:t>University</w:t>
      </w:r>
      <w:proofErr w:type="spellEnd"/>
      <w:r w:rsidRPr="00B35C7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B35C7C">
        <w:rPr>
          <w:rFonts w:ascii="Times New Roman" w:hAnsi="Times New Roman" w:cs="Times New Roman"/>
          <w:lang w:val="lv-LV"/>
        </w:rPr>
        <w:t>of</w:t>
      </w:r>
      <w:proofErr w:type="spellEnd"/>
      <w:r w:rsidRPr="00B35C7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B35C7C">
        <w:rPr>
          <w:rFonts w:ascii="Times New Roman" w:hAnsi="Times New Roman" w:cs="Times New Roman"/>
          <w:lang w:val="lv-LV"/>
        </w:rPr>
        <w:t>Latvia</w:t>
      </w:r>
      <w:proofErr w:type="spellEnd"/>
      <w:r w:rsidRPr="00B35C7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B35C7C">
        <w:rPr>
          <w:rFonts w:ascii="Times New Roman" w:hAnsi="Times New Roman" w:cs="Times New Roman"/>
          <w:lang w:val="lv-LV"/>
        </w:rPr>
        <w:t>Press</w:t>
      </w:r>
      <w:proofErr w:type="spellEnd"/>
      <w:r w:rsidRPr="00B35C7C">
        <w:rPr>
          <w:rFonts w:ascii="Times New Roman" w:hAnsi="Times New Roman" w:cs="Times New Roman"/>
          <w:lang w:val="lv-LV"/>
        </w:rPr>
        <w:t xml:space="preserve">, 2023, 272 </w:t>
      </w:r>
      <w:proofErr w:type="spellStart"/>
      <w:r w:rsidRPr="00B35C7C">
        <w:rPr>
          <w:rFonts w:ascii="Times New Roman" w:hAnsi="Times New Roman" w:cs="Times New Roman"/>
          <w:lang w:val="lv-LV"/>
        </w:rPr>
        <w:t>pages</w:t>
      </w:r>
      <w:proofErr w:type="spellEnd"/>
      <w:r w:rsidRPr="00B35C7C">
        <w:rPr>
          <w:rFonts w:ascii="Times New Roman" w:hAnsi="Times New Roman" w:cs="Times New Roman"/>
          <w:lang w:val="lv-LV"/>
        </w:rPr>
        <w:t>, 9.pp., ISBN 978-9934-18-947-0, https://doi.org/10.22364/tcn.23</w:t>
      </w:r>
    </w:p>
    <w:p w14:paraId="05E26752" w14:textId="77777777" w:rsidR="009D465A" w:rsidRPr="00B35C7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Younghwan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K., </w:t>
      </w: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Minki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K., </w:t>
      </w: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Wonjoon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K. 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Effect of the Fukushima nuclear disaster on global public acceptance of nuclear energy, 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Energy Policy,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Volume 61, October 2013, pages 822-828,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 </w:t>
      </w:r>
      <w:hyperlink r:id="rId9" w:history="1">
        <w:r w:rsidRPr="00B35C7C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https://doi.org/10.1016/j.enpol.2013.06.107</w:t>
        </w:r>
      </w:hyperlink>
    </w:p>
    <w:p w14:paraId="59A26065" w14:textId="77777777" w:rsidR="009D465A" w:rsidRPr="00CE0F1C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Latré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E., Perko T., </w:t>
      </w:r>
      <w:proofErr w:type="spellStart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Thijssen</w:t>
      </w:r>
      <w:proofErr w:type="spellEnd"/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P., 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Public opinion change after the Fukushima nuclear accident: The role of national context revisited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Energy Policy,</w:t>
      </w:r>
      <w:r w:rsidRPr="00B35C7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00B35C7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Volume 104, May 2017, pages 124-133,</w:t>
      </w:r>
      <w:r w:rsidRPr="00B35C7C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B35C7C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https://doi.org/10.1016/j.enpol.2017.01.027</w:t>
        </w:r>
      </w:hyperlink>
    </w:p>
    <w:p w14:paraId="4558F7F4" w14:textId="77777777" w:rsidR="009D465A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International Atomic Energy Agency: [25 Feb 2025] </w:t>
      </w:r>
      <w:hyperlink r:id="rId11" w:history="1">
        <w:r w:rsidRPr="00661E3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https://www.iaea.org/newscenter/news/iaea-profile-a-womans-mission-to-advance-nuclear-information-management</w:t>
        </w:r>
      </w:hyperlink>
    </w:p>
    <w:p w14:paraId="012D2FC0" w14:textId="77777777" w:rsidR="009D465A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F2F9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Exploring Energy Demand Dynamics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ENERDAY 2024. Book of Abstracts: </w:t>
      </w:r>
      <w:hyperlink r:id="rId12" w:history="1">
        <w:r w:rsidRPr="00661E3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https://tu-dresden.de/bu/wirtschaft/bwl/ee2/ressourcen/dateien/tagungen/enerday/enerday-2024/BoA_2024.pdf?lang=en</w:t>
        </w:r>
      </w:hyperlink>
    </w:p>
    <w:p w14:paraId="3D8D7FA3" w14:textId="77777777" w:rsidR="009D465A" w:rsidRDefault="009D465A" w:rsidP="009D4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hyperlink r:id="rId13" w:history="1">
        <w:r w:rsidRPr="00661E3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https://www.carbonbrief.org/germany-election-2025-what-the-manifestos-say-on-energy-and-climate-change/</w:t>
        </w:r>
      </w:hyperlink>
    </w:p>
    <w:p w14:paraId="1230E60D" w14:textId="77777777" w:rsidR="0028669B" w:rsidRDefault="009D465A" w:rsidP="002866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hyperlink r:id="rId14" w:history="1">
        <w:r w:rsidRPr="00661E3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https://www.theguardian.com/business/2022/dec/12/national-grid-coal-fired-plants-uk-icy-weather-electricity-blackouts-snow</w:t>
        </w:r>
      </w:hyperlink>
    </w:p>
    <w:p w14:paraId="1EDA2016" w14:textId="33E695F6" w:rsidR="0028669B" w:rsidRPr="00557507" w:rsidRDefault="0028669B" w:rsidP="002866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8669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J.Kapenieks</w:t>
      </w:r>
      <w:proofErr w:type="spellEnd"/>
      <w:proofErr w:type="gramEnd"/>
      <w:r w:rsidRPr="0028669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Sr., </w:t>
      </w:r>
      <w:proofErr w:type="spellStart"/>
      <w:r w:rsidRPr="0028669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J.Kapenieks</w:t>
      </w:r>
      <w:proofErr w:type="spellEnd"/>
      <w:r w:rsidRPr="0028669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Jr., </w:t>
      </w:r>
      <w:r w:rsidRPr="0028669B">
        <w:rPr>
          <w:rFonts w:ascii="Times New Roman" w:hAnsi="Times New Roman"/>
          <w:sz w:val="20"/>
          <w:szCs w:val="20"/>
        </w:rPr>
        <w:t xml:space="preserve">“Information System </w:t>
      </w:r>
      <w:r w:rsidRPr="002866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for Personalized Spaced e-Learning</w:t>
      </w:r>
      <w:r w:rsidRPr="0028669B">
        <w:rPr>
          <w:rFonts w:ascii="Times New Roman" w:hAnsi="Times New Roman"/>
          <w:sz w:val="20"/>
          <w:szCs w:val="20"/>
        </w:rPr>
        <w:t xml:space="preserve">”, Baltic J. Modern Computing, Vol. 9(2021), No. 4, 421-435: </w:t>
      </w:r>
      <w:r w:rsidR="00557507">
        <w:fldChar w:fldCharType="begin"/>
      </w:r>
      <w:r w:rsidR="00557507">
        <w:instrText>HYPERLINK "https://doi.org/10.22364/bjmc.2021.9.4.03"</w:instrText>
      </w:r>
      <w:r w:rsidR="00557507">
        <w:fldChar w:fldCharType="separate"/>
      </w:r>
      <w:r w:rsidR="00557507" w:rsidRPr="00661E32">
        <w:rPr>
          <w:rStyle w:val="Hyperlink"/>
          <w:rFonts w:ascii="Times New Roman" w:hAnsi="Times New Roman"/>
          <w:sz w:val="20"/>
          <w:szCs w:val="20"/>
        </w:rPr>
        <w:t>https://doi.org/10.22364/bjmc.2021.9.4.03</w:t>
      </w:r>
      <w:r w:rsidR="00557507">
        <w:fldChar w:fldCharType="end"/>
      </w:r>
    </w:p>
    <w:p w14:paraId="19063286" w14:textId="5DC8B945" w:rsidR="00557507" w:rsidRDefault="00557507" w:rsidP="002866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hyperlink r:id="rId15" w:history="1">
        <w:r w:rsidRPr="00661E3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https://essay.utwente.nl/97031/1/Hendrikse%20-%20MA%20-%20BMS.pdf</w:t>
        </w:r>
      </w:hyperlink>
    </w:p>
    <w:p w14:paraId="014B2C56" w14:textId="5F13354E" w:rsidR="002E43AD" w:rsidRDefault="00557507" w:rsidP="002E43AD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"Public Understanding of Science nuclear"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šādi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pameklēju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man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šķita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interesanti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daži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raksti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par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korelācijām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un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iekmejošiem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faktoriem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tik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valstis</w:t>
      </w:r>
      <w:proofErr w:type="spellEnd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tur </w:t>
      </w:r>
      <w:proofErr w:type="spellStart"/>
      <w:r w:rsidRPr="0055750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visādas</w:t>
      </w:r>
      <w:proofErr w:type="spellEnd"/>
      <w:r w:rsid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242889" w:rsidRP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bet man </w:t>
      </w:r>
      <w:proofErr w:type="spellStart"/>
      <w:r w:rsidR="00242889" w:rsidRP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patika</w:t>
      </w:r>
      <w:proofErr w:type="spellEnd"/>
      <w:r w:rsidR="00242889" w:rsidRP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ka </w:t>
      </w:r>
      <w:proofErr w:type="spellStart"/>
      <w:r w:rsidR="00242889" w:rsidRP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viņš</w:t>
      </w:r>
      <w:proofErr w:type="spellEnd"/>
      <w:r w:rsidR="00242889" w:rsidRP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42889" w:rsidRP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apskata</w:t>
      </w:r>
      <w:proofErr w:type="spellEnd"/>
      <w:r w:rsidR="00242889" w:rsidRP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42889" w:rsidRP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teorijas</w:t>
      </w:r>
      <w:proofErr w:type="spellEnd"/>
      <w:r w:rsidR="00242889" w:rsidRPr="0024288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Public Acceptance Theory</w:t>
      </w:r>
      <w:r w:rsidR="00437618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768768BF" w14:textId="1E5573B1" w:rsidR="00C31A08" w:rsidRPr="00DF3FBD" w:rsidRDefault="00C31A08" w:rsidP="00C31A08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proofErr w:type="spellStart"/>
      <w:r w:rsidRPr="00C31A08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Saqr</w:t>
      </w:r>
      <w:proofErr w:type="spellEnd"/>
      <w:r w:rsidRPr="00C31A08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M., &amp; López-</w:t>
      </w:r>
      <w:proofErr w:type="spellStart"/>
      <w:r w:rsidRPr="00C31A08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Pernas</w:t>
      </w:r>
      <w:proofErr w:type="spellEnd"/>
      <w:r w:rsidRPr="00C31A08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S. (2024). Learning analytics methods and tutorials: A practical guide using R. </w:t>
      </w:r>
      <w:hyperlink r:id="rId16" w:history="1">
        <w:r w:rsidRPr="00DF3FBD">
          <w:rPr>
            <w:rStyle w:val="Hyperlink"/>
            <w:rFonts w:ascii="Times New Roman" w:hAnsi="Times New Roman" w:cs="Times New Roman"/>
            <w:sz w:val="20"/>
            <w:szCs w:val="20"/>
            <w:lang w:val="fr-FR"/>
          </w:rPr>
          <w:t>https://link.springer.com/book/10.1007/978-3-031-54464-4</w:t>
        </w:r>
      </w:hyperlink>
    </w:p>
    <w:p w14:paraId="7DD574F0" w14:textId="7EA5268C" w:rsidR="00C31A08" w:rsidRPr="00DF3FBD" w:rsidRDefault="00C31A08" w:rsidP="002E43AD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hyperlink r:id="rId17" w:history="1">
        <w:r w:rsidRPr="00DF3FBD">
          <w:rPr>
            <w:rStyle w:val="Hyperlink"/>
            <w:rFonts w:ascii="Times New Roman" w:hAnsi="Times New Roman" w:cs="Times New Roman"/>
            <w:sz w:val="20"/>
            <w:szCs w:val="20"/>
            <w:lang w:val="fr-FR"/>
          </w:rPr>
          <w:t>https://data.europa.eu/data/datasets/s3227_102_1_sp557_eng?locale=en</w:t>
        </w:r>
      </w:hyperlink>
      <w:r w:rsidRPr="00DF3FBD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</w:p>
    <w:p w14:paraId="2E980AD7" w14:textId="03569C27" w:rsidR="00C31A08" w:rsidRDefault="00610C82" w:rsidP="00C31A08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610C8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European citizens_ knowledge and attitudes towards science and technology_SP557_volume_B.xlsx</w:t>
      </w:r>
    </w:p>
    <w:p w14:paraId="2776B22E" w14:textId="77777777" w:rsidR="00610C82" w:rsidRDefault="00610C82" w:rsidP="00C31A08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34C4D04B" w14:textId="77777777" w:rsidR="00C31A08" w:rsidRPr="00557507" w:rsidRDefault="00C31A08" w:rsidP="00C31A08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0A86B864" w14:textId="77777777" w:rsidR="000B6B6C" w:rsidRDefault="000B6B6C">
      <w:pP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</w:pPr>
    </w:p>
    <w:p w14:paraId="149312D2" w14:textId="77777777" w:rsidR="000B6B6C" w:rsidRDefault="000B6B6C">
      <w:pP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</w:pPr>
    </w:p>
    <w:p w14:paraId="328EAF8C" w14:textId="77777777" w:rsidR="000B6B6C" w:rsidRDefault="000B6B6C">
      <w:pPr>
        <w:rPr>
          <w:b/>
          <w:bCs/>
          <w:lang w:val="en-US"/>
        </w:rPr>
      </w:pPr>
    </w:p>
    <w:p w14:paraId="6316FBBC" w14:textId="77777777" w:rsidR="0014635E" w:rsidRDefault="0014635E">
      <w:pPr>
        <w:rPr>
          <w:b/>
          <w:bCs/>
          <w:lang w:val="en-US"/>
        </w:rPr>
      </w:pPr>
    </w:p>
    <w:p w14:paraId="139308F0" w14:textId="1D1F3466" w:rsidR="00A74AA7" w:rsidRDefault="00916F43" w:rsidP="00ED31EF">
      <w:pPr>
        <w:tabs>
          <w:tab w:val="left" w:pos="5598"/>
        </w:tabs>
      </w:pPr>
      <w:r>
        <w:rPr>
          <w:lang w:val="en-US"/>
        </w:rPr>
        <w:lastRenderedPageBreak/>
        <w:t xml:space="preserve">Annex </w:t>
      </w:r>
      <w:r w:rsidR="002211AF">
        <w:rPr>
          <w:noProof/>
          <w:lang w:val="fr-FR" w:eastAsia="fr-FR"/>
        </w:rPr>
        <w:drawing>
          <wp:inline distT="0" distB="0" distL="0" distR="0" wp14:anchorId="6A8E51C5" wp14:editId="062F2E73">
            <wp:extent cx="5731510" cy="4017010"/>
            <wp:effectExtent l="0" t="0" r="0" b="0"/>
            <wp:docPr id="952532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32374" name="Picture 95253237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Fig. 1. </w:t>
      </w:r>
      <w:r>
        <w:t>Eurobarometer: Data from February 2025</w:t>
      </w:r>
      <w:r w:rsidR="00AC23E5">
        <w:rPr>
          <w:rStyle w:val="FootnoteReference"/>
          <w:lang w:val="en-US"/>
        </w:rPr>
        <w:footnoteReference w:id="1"/>
      </w:r>
    </w:p>
    <w:p w14:paraId="62EF8CE7" w14:textId="77777777" w:rsidR="00B6338C" w:rsidRDefault="00B6338C" w:rsidP="00ED31EF">
      <w:pPr>
        <w:tabs>
          <w:tab w:val="left" w:pos="5598"/>
        </w:tabs>
      </w:pPr>
    </w:p>
    <w:p w14:paraId="44024391" w14:textId="77777777" w:rsidR="00B6338C" w:rsidRDefault="00B6338C" w:rsidP="00ED31EF">
      <w:pPr>
        <w:tabs>
          <w:tab w:val="left" w:pos="5598"/>
        </w:tabs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57170B7D" wp14:editId="351BED50">
            <wp:extent cx="4914900" cy="2311400"/>
            <wp:effectExtent l="0" t="0" r="0" b="0"/>
            <wp:docPr id="2084589556" name="Picture 2" descr="A diagram of a public accepta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89556" name="Picture 2" descr="A diagram of a public acceptance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7F68" w14:textId="77777777" w:rsidR="00B6338C" w:rsidRDefault="00B6338C" w:rsidP="00ED31EF">
      <w:pPr>
        <w:tabs>
          <w:tab w:val="left" w:pos="5598"/>
        </w:tabs>
        <w:rPr>
          <w:lang w:val="en-US"/>
        </w:rPr>
      </w:pPr>
    </w:p>
    <w:p w14:paraId="03BC8891" w14:textId="25E6FA21" w:rsidR="00B6338C" w:rsidRPr="00ED31EF" w:rsidRDefault="00B6338C" w:rsidP="00ED31EF">
      <w:pPr>
        <w:tabs>
          <w:tab w:val="left" w:pos="5598"/>
        </w:tabs>
        <w:rPr>
          <w:lang w:val="en-US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0267B0DD" wp14:editId="603F636D">
            <wp:extent cx="5003800" cy="2451100"/>
            <wp:effectExtent l="0" t="0" r="0" b="0"/>
            <wp:docPr id="1538478336" name="Picture 1" descr="A diagram of a company's benefi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78336" name="Picture 1" descr="A diagram of a company's benefits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38C" w:rsidRPr="00ED3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083C" w14:textId="77777777" w:rsidR="00D16C80" w:rsidRDefault="00D16C80" w:rsidP="00ED31EF">
      <w:r>
        <w:separator/>
      </w:r>
    </w:p>
  </w:endnote>
  <w:endnote w:type="continuationSeparator" w:id="0">
    <w:p w14:paraId="62601C1C" w14:textId="77777777" w:rsidR="00D16C80" w:rsidRDefault="00D16C80" w:rsidP="00ED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79C8" w14:textId="77777777" w:rsidR="00D16C80" w:rsidRDefault="00D16C80" w:rsidP="00ED31EF">
      <w:r>
        <w:separator/>
      </w:r>
    </w:p>
  </w:footnote>
  <w:footnote w:type="continuationSeparator" w:id="0">
    <w:p w14:paraId="1F04E27C" w14:textId="77777777" w:rsidR="00D16C80" w:rsidRDefault="00D16C80" w:rsidP="00ED31EF">
      <w:r>
        <w:continuationSeparator/>
      </w:r>
    </w:p>
  </w:footnote>
  <w:footnote w:id="1">
    <w:p w14:paraId="2DF0B4E2" w14:textId="338C71FF" w:rsidR="00AC23E5" w:rsidRPr="00AC23E5" w:rsidRDefault="00AC23E5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="00FE5B10">
        <w:t xml:space="preserve">Eurobarometer: Data from February 2025: </w:t>
      </w:r>
      <w:r w:rsidRPr="00AC23E5">
        <w:t>https://europa.eu/eurobarometer/surveys/detail/3227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05D3"/>
    <w:multiLevelType w:val="hybridMultilevel"/>
    <w:tmpl w:val="DC94C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3F17"/>
    <w:multiLevelType w:val="hybridMultilevel"/>
    <w:tmpl w:val="55D2B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76976"/>
    <w:multiLevelType w:val="hybridMultilevel"/>
    <w:tmpl w:val="7834D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65889"/>
    <w:multiLevelType w:val="hybridMultilevel"/>
    <w:tmpl w:val="0346F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66558"/>
    <w:multiLevelType w:val="hybridMultilevel"/>
    <w:tmpl w:val="0C708EB0"/>
    <w:lvl w:ilvl="0" w:tplc="16B22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099318">
    <w:abstractNumId w:val="1"/>
  </w:num>
  <w:num w:numId="2" w16cid:durableId="138769133">
    <w:abstractNumId w:val="3"/>
  </w:num>
  <w:num w:numId="3" w16cid:durableId="74593357">
    <w:abstractNumId w:val="4"/>
  </w:num>
  <w:num w:numId="4" w16cid:durableId="729039588">
    <w:abstractNumId w:val="2"/>
  </w:num>
  <w:num w:numId="5" w16cid:durableId="70972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30"/>
    <w:rsid w:val="00021F05"/>
    <w:rsid w:val="00040688"/>
    <w:rsid w:val="00047763"/>
    <w:rsid w:val="00060D8F"/>
    <w:rsid w:val="000867CD"/>
    <w:rsid w:val="000B0730"/>
    <w:rsid w:val="000B6B6C"/>
    <w:rsid w:val="000D42EB"/>
    <w:rsid w:val="00103EA6"/>
    <w:rsid w:val="001138C3"/>
    <w:rsid w:val="0012402F"/>
    <w:rsid w:val="00126905"/>
    <w:rsid w:val="001355B3"/>
    <w:rsid w:val="0014635E"/>
    <w:rsid w:val="001B09BF"/>
    <w:rsid w:val="002211AF"/>
    <w:rsid w:val="0022348D"/>
    <w:rsid w:val="00225940"/>
    <w:rsid w:val="0023067F"/>
    <w:rsid w:val="00236D6E"/>
    <w:rsid w:val="00242889"/>
    <w:rsid w:val="00245735"/>
    <w:rsid w:val="00255A79"/>
    <w:rsid w:val="0026285C"/>
    <w:rsid w:val="002645F1"/>
    <w:rsid w:val="002808AB"/>
    <w:rsid w:val="0028650E"/>
    <w:rsid w:val="0028669B"/>
    <w:rsid w:val="002D3ADB"/>
    <w:rsid w:val="002E43AD"/>
    <w:rsid w:val="00302BAB"/>
    <w:rsid w:val="00332D55"/>
    <w:rsid w:val="00391D51"/>
    <w:rsid w:val="003F23F1"/>
    <w:rsid w:val="00400311"/>
    <w:rsid w:val="00437618"/>
    <w:rsid w:val="00443BA4"/>
    <w:rsid w:val="00457694"/>
    <w:rsid w:val="00461CFB"/>
    <w:rsid w:val="00470C65"/>
    <w:rsid w:val="00473F9E"/>
    <w:rsid w:val="00481009"/>
    <w:rsid w:val="00485BDA"/>
    <w:rsid w:val="00490318"/>
    <w:rsid w:val="004948E7"/>
    <w:rsid w:val="004A4302"/>
    <w:rsid w:val="004D217B"/>
    <w:rsid w:val="004F6BAC"/>
    <w:rsid w:val="00501E10"/>
    <w:rsid w:val="005133C7"/>
    <w:rsid w:val="00520FE0"/>
    <w:rsid w:val="00527FAD"/>
    <w:rsid w:val="00550C01"/>
    <w:rsid w:val="00557507"/>
    <w:rsid w:val="0056734D"/>
    <w:rsid w:val="005F2F9E"/>
    <w:rsid w:val="00610C82"/>
    <w:rsid w:val="006321F6"/>
    <w:rsid w:val="006442D3"/>
    <w:rsid w:val="006509C4"/>
    <w:rsid w:val="006544B8"/>
    <w:rsid w:val="006672AB"/>
    <w:rsid w:val="006900FA"/>
    <w:rsid w:val="006C18F1"/>
    <w:rsid w:val="006E17B9"/>
    <w:rsid w:val="006F4107"/>
    <w:rsid w:val="00706673"/>
    <w:rsid w:val="00706891"/>
    <w:rsid w:val="00721DF8"/>
    <w:rsid w:val="00740DB3"/>
    <w:rsid w:val="00742511"/>
    <w:rsid w:val="00744B3E"/>
    <w:rsid w:val="00745A5B"/>
    <w:rsid w:val="00755523"/>
    <w:rsid w:val="007E137C"/>
    <w:rsid w:val="00807854"/>
    <w:rsid w:val="00813507"/>
    <w:rsid w:val="00874FBB"/>
    <w:rsid w:val="00885958"/>
    <w:rsid w:val="008D2DD4"/>
    <w:rsid w:val="008D3B1F"/>
    <w:rsid w:val="008D5120"/>
    <w:rsid w:val="008E5E5B"/>
    <w:rsid w:val="009112EA"/>
    <w:rsid w:val="00916F43"/>
    <w:rsid w:val="009612D8"/>
    <w:rsid w:val="00963FC7"/>
    <w:rsid w:val="0097366D"/>
    <w:rsid w:val="009A4644"/>
    <w:rsid w:val="009B3DC2"/>
    <w:rsid w:val="009C07A6"/>
    <w:rsid w:val="009D465A"/>
    <w:rsid w:val="009E42A6"/>
    <w:rsid w:val="00A04C7D"/>
    <w:rsid w:val="00A11B73"/>
    <w:rsid w:val="00A16ABA"/>
    <w:rsid w:val="00A1742E"/>
    <w:rsid w:val="00A602E1"/>
    <w:rsid w:val="00A63D21"/>
    <w:rsid w:val="00A74AA7"/>
    <w:rsid w:val="00A86B92"/>
    <w:rsid w:val="00A911F7"/>
    <w:rsid w:val="00AA1B3C"/>
    <w:rsid w:val="00AA301C"/>
    <w:rsid w:val="00AA672D"/>
    <w:rsid w:val="00AB3FAC"/>
    <w:rsid w:val="00AC00FE"/>
    <w:rsid w:val="00AC0A42"/>
    <w:rsid w:val="00AC23E5"/>
    <w:rsid w:val="00AD5B52"/>
    <w:rsid w:val="00AE309F"/>
    <w:rsid w:val="00AF3591"/>
    <w:rsid w:val="00B35C7C"/>
    <w:rsid w:val="00B41A32"/>
    <w:rsid w:val="00B62F0A"/>
    <w:rsid w:val="00B6338C"/>
    <w:rsid w:val="00B64AE9"/>
    <w:rsid w:val="00B83A79"/>
    <w:rsid w:val="00B95A9E"/>
    <w:rsid w:val="00BB2961"/>
    <w:rsid w:val="00BC2583"/>
    <w:rsid w:val="00BF227B"/>
    <w:rsid w:val="00C10520"/>
    <w:rsid w:val="00C15D0A"/>
    <w:rsid w:val="00C17E3E"/>
    <w:rsid w:val="00C25061"/>
    <w:rsid w:val="00C31A08"/>
    <w:rsid w:val="00C65BBF"/>
    <w:rsid w:val="00C666FC"/>
    <w:rsid w:val="00CB2B50"/>
    <w:rsid w:val="00CB6E6A"/>
    <w:rsid w:val="00CE0F1C"/>
    <w:rsid w:val="00CF41A6"/>
    <w:rsid w:val="00CF63FD"/>
    <w:rsid w:val="00D16C80"/>
    <w:rsid w:val="00D368EB"/>
    <w:rsid w:val="00D55CD4"/>
    <w:rsid w:val="00D62A0E"/>
    <w:rsid w:val="00D6482D"/>
    <w:rsid w:val="00DD3E42"/>
    <w:rsid w:val="00DE17FE"/>
    <w:rsid w:val="00DF3FBD"/>
    <w:rsid w:val="00DF4F19"/>
    <w:rsid w:val="00DF5887"/>
    <w:rsid w:val="00E26FC2"/>
    <w:rsid w:val="00E31C45"/>
    <w:rsid w:val="00EB06A6"/>
    <w:rsid w:val="00EB126E"/>
    <w:rsid w:val="00EB1DBA"/>
    <w:rsid w:val="00EC7DED"/>
    <w:rsid w:val="00ED31EF"/>
    <w:rsid w:val="00EF2B50"/>
    <w:rsid w:val="00F05268"/>
    <w:rsid w:val="00F12921"/>
    <w:rsid w:val="00F23A5B"/>
    <w:rsid w:val="00F52C79"/>
    <w:rsid w:val="00F556C9"/>
    <w:rsid w:val="00FD1845"/>
    <w:rsid w:val="00FE40D5"/>
    <w:rsid w:val="00FE41F2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7A4CB"/>
  <w15:chartTrackingRefBased/>
  <w15:docId w15:val="{3854715D-8A7C-E84D-99F5-807C8D42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7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7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7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7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7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7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7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730"/>
    <w:rPr>
      <w:i/>
      <w:iCs/>
      <w:color w:val="404040" w:themeColor="text1" w:themeTint="BF"/>
    </w:rPr>
  </w:style>
  <w:style w:type="paragraph" w:styleId="ListParagraph">
    <w:name w:val="List Paragraph"/>
    <w:aliases w:val="EC,Paragraphe de liste11,Paragraphe de liste1,Colorful List Accent 1,List Paragraph (numbered (a)),List_Paragraph,Multilevel para_II,List Paragraph1,Colorful List - Accent 11,Dot pt,No Spacing1,Indicator Text,L,Puce,3"/>
    <w:basedOn w:val="Normal"/>
    <w:link w:val="ListParagraphChar"/>
    <w:uiPriority w:val="34"/>
    <w:qFormat/>
    <w:rsid w:val="000B0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73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808AB"/>
  </w:style>
  <w:style w:type="paragraph" w:customStyle="1" w:styleId="p1">
    <w:name w:val="p1"/>
    <w:basedOn w:val="Normal"/>
    <w:rsid w:val="00302BAB"/>
    <w:rPr>
      <w:rFonts w:ascii="Helvetica" w:eastAsia="Times New Roman" w:hAnsi="Helvetica" w:cs="Times New Roman"/>
      <w:color w:val="000000"/>
      <w:kern w:val="0"/>
      <w:sz w:val="14"/>
      <w:szCs w:val="14"/>
      <w:lang w:eastAsia="en-GB"/>
      <w14:ligatures w14:val="none"/>
    </w:rPr>
  </w:style>
  <w:style w:type="paragraph" w:customStyle="1" w:styleId="p2">
    <w:name w:val="p2"/>
    <w:basedOn w:val="Normal"/>
    <w:rsid w:val="00302BAB"/>
    <w:rPr>
      <w:rFonts w:ascii="Helvetica" w:eastAsia="Times New Roman" w:hAnsi="Helvetica" w:cs="Times New Roman"/>
      <w:color w:val="000000"/>
      <w:kern w:val="0"/>
      <w:sz w:val="11"/>
      <w:szCs w:val="11"/>
      <w:lang w:eastAsia="en-GB"/>
      <w14:ligatures w14:val="none"/>
    </w:rPr>
  </w:style>
  <w:style w:type="character" w:customStyle="1" w:styleId="anchor-text">
    <w:name w:val="anchor-text"/>
    <w:basedOn w:val="DefaultParagraphFont"/>
    <w:rsid w:val="00B62F0A"/>
  </w:style>
  <w:style w:type="paragraph" w:styleId="FootnoteText">
    <w:name w:val="footnote text"/>
    <w:basedOn w:val="Normal"/>
    <w:link w:val="FootnoteTextChar"/>
    <w:uiPriority w:val="99"/>
    <w:semiHidden/>
    <w:unhideWhenUsed/>
    <w:rsid w:val="00ED31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1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1E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00F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0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EA6"/>
    <w:rPr>
      <w:color w:val="96607D" w:themeColor="followedHyperlink"/>
      <w:u w:val="single"/>
    </w:rPr>
  </w:style>
  <w:style w:type="character" w:customStyle="1" w:styleId="ListParagraphChar">
    <w:name w:val="List Paragraph Char"/>
    <w:aliases w:val="EC Char,Paragraphe de liste11 Char,Paragraphe de liste1 Char,Colorful List Accent 1 Char,List Paragraph (numbered (a)) Char,List_Paragraph Char,Multilevel para_II Char,List Paragraph1 Char,Colorful List - Accent 11 Char,Dot pt Char"/>
    <w:basedOn w:val="DefaultParagraphFont"/>
    <w:link w:val="ListParagraph"/>
    <w:uiPriority w:val="34"/>
    <w:qFormat/>
    <w:locked/>
    <w:rsid w:val="009B3DC2"/>
  </w:style>
  <w:style w:type="paragraph" w:styleId="BalloonText">
    <w:name w:val="Balloon Text"/>
    <w:basedOn w:val="Normal"/>
    <w:link w:val="BalloonTextChar"/>
    <w:uiPriority w:val="99"/>
    <w:semiHidden/>
    <w:unhideWhenUsed/>
    <w:rsid w:val="007E1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nuclear.org" TargetMode="External"/><Relationship Id="rId13" Type="http://schemas.openxmlformats.org/officeDocument/2006/relationships/hyperlink" Target="https://www.carbonbrief.org/germany-election-2025-what-the-manifestos-say-on-energy-and-climate-change/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u-dresden.de/bu/wirtschaft/bwl/ee2/ressourcen/dateien/tagungen/enerday/enerday-2024/BoA_2024.pdf?lang=en" TargetMode="External"/><Relationship Id="rId17" Type="http://schemas.openxmlformats.org/officeDocument/2006/relationships/hyperlink" Target="https://data.europa.eu/data/datasets/s3227_102_1_sp557_eng?locale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book/10.1007/978-3-031-54464-4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ea.org/newscenter/news/iaea-profile-a-womans-mission-to-advance-nuclear-information-manag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say.utwente.nl/97031/1/Hendrikse%20-%20MA%20-%20BMS.pdf" TargetMode="External"/><Relationship Id="rId10" Type="http://schemas.openxmlformats.org/officeDocument/2006/relationships/hyperlink" Target="https://doi.org/10.1016/j.enpol.2017.01.027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i.org/10.1016/j.enpol.2013.06.107" TargetMode="External"/><Relationship Id="rId14" Type="http://schemas.openxmlformats.org/officeDocument/2006/relationships/hyperlink" Target="https://www.theguardian.com/business/2022/dec/12/national-grid-coal-fired-plants-uk-icy-weather-electricity-blackouts-sno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958949-0EA5-4E2E-8EEB-584329C3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J.-Š.</dc:creator>
  <cp:keywords/>
  <dc:description/>
  <cp:lastModifiedBy>Guna Jākobsone-Šņepste</cp:lastModifiedBy>
  <cp:revision>10</cp:revision>
  <dcterms:created xsi:type="dcterms:W3CDTF">2025-03-04T17:21:00Z</dcterms:created>
  <dcterms:modified xsi:type="dcterms:W3CDTF">2025-03-04T18:02:00Z</dcterms:modified>
  <cp:category/>
</cp:coreProperties>
</file>